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БИЗНЕС-ПЛАН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Создание туристическо-рекреационного центра</w:t>
        <w:br/>
        <w:t>«Кок-Жайык»</w:t>
      </w:r>
    </w:p>
    <w:p/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Место реализации: Иссык-Кульская область, Тюпский район,</w:t>
        <w:br/>
        <w:t>52-й км трассы Тюп-Кеген</w:t>
      </w:r>
    </w:p>
    <w:p/>
    <w:p/>
    <w:p/>
    <w:p/>
    <w:p/>
    <w:p>
      <w:pPr>
        <w:jc w:val="right"/>
      </w:pPr>
      <w:r>
        <w:rPr>
          <w:rFonts w:ascii="Times New Roman" w:hAnsi="Times New Roman" w:eastAsia="Times New Roman"/>
          <w:b/>
          <w:sz w:val="24"/>
        </w:rPr>
        <w:t xml:space="preserve">Подготовил: Умеров Марс Казизович  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Кыргызская Республика, 2026 г.</w:t>
      </w:r>
    </w:p>
    <w:p>
      <w:r>
        <w:rPr>
          <w:rFonts w:ascii="Times New Roman" w:hAnsi="Times New Roman" w:eastAsia="Times New Roman"/>
          <w:sz w:val="24"/>
        </w:rPr>
        <w:br w:type="page"/>
      </w:r>
    </w:p>
    <w:p>
      <w:pPr/>
      <w:r>
        <w:rPr>
          <w:rFonts w:ascii="Times New Roman" w:hAnsi="Times New Roman" w:eastAsia="Times New Roman"/>
          <w:sz w:val="24"/>
        </w:rPr>
        <w:t>2 860 000 (два миллиона восемьсот шестьдесят тысяч) сомов.</w:t>
      </w:r>
    </w:p>
    <w:p>
      <w:pPr/>
      <w:r>
        <w:rPr>
          <w:rFonts w:ascii="Times New Roman" w:hAnsi="Times New Roman" w:eastAsia="Times New Roman"/>
          <w:sz w:val="24"/>
        </w:rPr>
        <w:t>Для старта проекта требуется 2 002 000 сомов, остальные 858 000 сомов (30%) будут обеспечены за счет собственных средств.</w:t>
      </w:r>
    </w:p>
    <w:p>
      <w:pPr/>
      <w:r>
        <w:rPr>
          <w:rFonts w:ascii="Times New Roman" w:hAnsi="Times New Roman" w:eastAsia="Times New Roman"/>
          <w:sz w:val="24"/>
        </w:rPr>
        <w:t>Цель проекта: оказывать качественные услуги в сфере туризма для зарубежных, а также, местных гостей.</w:t>
      </w:r>
    </w:p>
    <w:p>
      <w:pPr/>
      <w:r>
        <w:rPr>
          <w:rFonts w:ascii="Times New Roman" w:hAnsi="Times New Roman" w:eastAsia="Times New Roman"/>
          <w:b/>
          <w:sz w:val="24"/>
        </w:rPr>
        <w:t>1. Резюме проекта</w:t>
      </w:r>
    </w:p>
    <w:p>
      <w:pPr/>
      <w:r>
        <w:rPr>
          <w:rFonts w:ascii="Times New Roman" w:hAnsi="Times New Roman" w:eastAsia="Times New Roman"/>
          <w:sz w:val="24"/>
        </w:rPr>
        <w:t>Настоящий бизнес-план разработан для обоснования инвестиций в создание туристическо-рекреационного центра "Кок-Жайык" на трассе Тюп-Кеген в Иссык-Кульской области Кыргызской Республики. Проект нацелен на обслуживание растущего туристического и транзитного потока между Казахстаном (Алматы) и Иссык-Кулем (Каракол).</w:t>
      </w:r>
    </w:p>
    <w:p>
      <w:pPr/>
      <w:r>
        <w:rPr>
          <w:rFonts w:ascii="Times New Roman" w:hAnsi="Times New Roman" w:eastAsia="Times New Roman"/>
          <w:b/>
          <w:sz w:val="24"/>
        </w:rPr>
        <w:t>Ключевые показатели проекта: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Общий объем инвестиций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2 860 000 сом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Прогнозируемая годовая выручка по сезону (при переходе на круглогодичность показатели будут выше на 250 000-350 000 сом)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900 000 сом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Прогнозируемая годовая чистая прибыль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700 000 сом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Срок окупаемости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3 года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Местоположение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4"/>
              </w:rPr>
              <w:t>52-км трассы Тюп-Кеген</w:t>
            </w:r>
          </w:p>
        </w:tc>
      </w:tr>
    </w:tbl>
    <w:p>
      <w:pPr/>
      <w:r>
        <w:rPr>
          <w:rFonts w:ascii="Times New Roman" w:hAnsi="Times New Roman" w:eastAsia="Times New Roman"/>
          <w:b/>
          <w:sz w:val="24"/>
        </w:rPr>
        <w:t>2. Описание предприятия и услуг</w:t>
      </w:r>
    </w:p>
    <w:p>
      <w:pPr/>
      <w:r>
        <w:rPr>
          <w:rFonts w:ascii="Times New Roman" w:hAnsi="Times New Roman" w:eastAsia="Times New Roman"/>
          <w:sz w:val="24"/>
        </w:rPr>
        <w:t>Центр "Кок-Жайык" будет представлять собой многофункциональный комплекс, сочетающий придорожный сервис и комфортное размещение в эко-стиле.</w:t>
      </w:r>
    </w:p>
    <w:p>
      <w:pPr/>
      <w:r>
        <w:rPr>
          <w:rFonts w:ascii="Times New Roman" w:hAnsi="Times New Roman" w:eastAsia="Times New Roman"/>
          <w:b/>
          <w:sz w:val="24"/>
        </w:rPr>
        <w:t>2.1. Инфраструктура</w:t>
      </w:r>
    </w:p>
    <w:p>
      <w:pPr/>
      <w:r>
        <w:rPr>
          <w:rFonts w:ascii="Times New Roman" w:hAnsi="Times New Roman" w:eastAsia="Times New Roman"/>
          <w:sz w:val="24"/>
        </w:rPr>
        <w:t>Инфраструктура центра включает:</w:t>
      </w:r>
    </w:p>
    <w:p>
      <w:pPr/>
      <w:r>
        <w:rPr>
          <w:rFonts w:ascii="Times New Roman" w:hAnsi="Times New Roman" w:eastAsia="Times New Roman"/>
          <w:sz w:val="24"/>
        </w:rPr>
        <w:t>Магазин и Кафе: Придорожное кафе на 20-30 посадочных мест и небольшой магазин с товарами первой необходимости, сувенирами и местной продукцией.</w:t>
      </w:r>
    </w:p>
    <w:p>
      <w:pPr/>
      <w:r>
        <w:rPr>
          <w:rFonts w:ascii="Times New Roman" w:hAnsi="Times New Roman" w:eastAsia="Times New Roman"/>
          <w:sz w:val="24"/>
        </w:rPr>
        <w:t>Размещение одна Юрта: предназначенные для сезонного (летне-осеннего) размещения, что позволит привлечь туристов, ищущих аутентичный опыт.</w:t>
      </w:r>
    </w:p>
    <w:p>
      <w:pPr/>
      <w:r>
        <w:rPr>
          <w:rFonts w:ascii="Times New Roman" w:hAnsi="Times New Roman" w:eastAsia="Times New Roman"/>
          <w:sz w:val="24"/>
        </w:rPr>
        <w:t>Площадка для игр: Оборудованная детская и спортивная площадка для кратковременного отдыха транзитных пассажиров и гостей центра.</w:t>
      </w:r>
    </w:p>
    <w:p>
      <w:pPr/>
      <w:r>
        <w:rPr>
          <w:rFonts w:ascii="Times New Roman" w:hAnsi="Times New Roman" w:eastAsia="Times New Roman"/>
          <w:sz w:val="24"/>
        </w:rPr>
        <w:t>А-фрейм дом: Один дом на 4 человека, построенный за счет собственных средств.</w:t>
      </w:r>
    </w:p>
    <w:p>
      <w:pPr/>
      <w:r>
        <w:rPr>
          <w:rFonts w:ascii="Times New Roman" w:hAnsi="Times New Roman" w:eastAsia="Times New Roman"/>
          <w:b/>
          <w:sz w:val="24"/>
        </w:rPr>
        <w:t>2.2. Целевая аудитория</w:t>
      </w:r>
    </w:p>
    <w:p>
      <w:pPr/>
      <w:r>
        <w:rPr>
          <w:rFonts w:ascii="Times New Roman" w:hAnsi="Times New Roman" w:eastAsia="Times New Roman"/>
          <w:sz w:val="24"/>
        </w:rPr>
        <w:t>1.  Транзитные туристы: Автомобилисты, следующие из Казахстана (Алматы) в Каракол и на южный берег Иссык-Куля, использующие трассу Тюп-Кеген как кратчайший путь.</w:t>
      </w:r>
    </w:p>
    <w:p>
      <w:pPr/>
      <w:r>
        <w:rPr>
          <w:rFonts w:ascii="Times New Roman" w:hAnsi="Times New Roman" w:eastAsia="Times New Roman"/>
          <w:b/>
          <w:sz w:val="24"/>
        </w:rPr>
        <w:t>2.  Экотуристы и альпинисты: Путешественники, направляющиеся в ущелье Каркыра, к пику Хан-Тенгри и в другие горные районы.</w:t>
      </w:r>
    </w:p>
    <w:p>
      <w:pPr/>
      <w:r>
        <w:rPr>
          <w:rFonts w:ascii="Times New Roman" w:hAnsi="Times New Roman" w:eastAsia="Times New Roman"/>
          <w:b/>
          <w:sz w:val="24"/>
        </w:rPr>
        <w:t>3.  Местные жители: посетители из близлежащих сел и городов, использующие кафе.</w:t>
      </w:r>
    </w:p>
    <w:p>
      <w:pPr/>
      <w:r>
        <w:rPr>
          <w:rFonts w:ascii="Times New Roman" w:hAnsi="Times New Roman" w:eastAsia="Times New Roman"/>
          <w:b/>
          <w:sz w:val="24"/>
        </w:rPr>
        <w:t>3. Анализ рынка и конкуренции</w:t>
      </w:r>
    </w:p>
    <w:p>
      <w:pPr/>
      <w:r>
        <w:rPr>
          <w:rFonts w:ascii="Times New Roman" w:hAnsi="Times New Roman" w:eastAsia="Times New Roman"/>
          <w:b/>
          <w:sz w:val="24"/>
        </w:rPr>
        <w:t>3.1. Анализ местоположения</w:t>
      </w:r>
    </w:p>
    <w:p>
      <w:pPr/>
      <w:r>
        <w:rPr>
          <w:rFonts w:ascii="Times New Roman" w:hAnsi="Times New Roman" w:eastAsia="Times New Roman"/>
          <w:sz w:val="24"/>
        </w:rPr>
        <w:t>Местоположение 52й км Тюп-Кеген находится на ключевом участке трассы Тюп-Кеген, которая была недавно реконструирована, что значительно увеличило ее пропускную способность и привлекательность как альтернативного маршрута в Алматы. Близость к КПП “Каркыра-Автодорожный”, который планируется перевести на круглосуточный режим работы, гарантирует стабильный трафик. Так же уникальность проекта в том что дорога от "Трёх Вершин" (Ала-Тоо RESORT) примыкает к трассе Туп-Кеген (к точке локации проекта "Кок-Жайык").</w:t>
      </w:r>
    </w:p>
    <w:p>
      <w:pPr/>
      <w:r>
        <w:rPr>
          <w:rFonts w:ascii="Times New Roman" w:hAnsi="Times New Roman" w:eastAsia="Times New Roman"/>
          <w:b/>
          <w:sz w:val="24"/>
        </w:rPr>
        <w:t>3.2. Конкурентный анализ</w:t>
      </w:r>
    </w:p>
    <w:p>
      <w:pPr/>
      <w:r>
        <w:rPr>
          <w:rFonts w:ascii="Times New Roman" w:hAnsi="Times New Roman" w:eastAsia="Times New Roman"/>
          <w:sz w:val="24"/>
        </w:rPr>
        <w:t>Основными конкурентами являются существующие юрточные лагеря и глэмпинги в долине Каркыра, такие как "Юрточный Глэмпинг Каркара" и "Каркыра Глэмпинг".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Конкурент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Преимущества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Недостатки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Позиционирование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Юрточные лагеря (Каркыра)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Аутентичность, близость к горам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Сезонность, низкий уровень комфорта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Гибридный подход: Сочетание всесезонных А-frame домов и аутентичных юрт.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Придорожные кафе (Тюп/Кеген)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Низкие цены, быстрое обслуживание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Низкое качество, отсутствие дополнительных услуг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Комплексный сервис: Качественное питание, комфортный ночлег и зона отдыха.</w:t>
            </w:r>
          </w:p>
        </w:tc>
      </w:tr>
    </w:tbl>
    <w:p>
      <w:pPr/>
      <w:r>
        <w:rPr>
          <w:rFonts w:ascii="Times New Roman" w:hAnsi="Times New Roman" w:eastAsia="Times New Roman"/>
          <w:b/>
          <w:sz w:val="24"/>
        </w:rPr>
        <w:t>4. Маркетинговый план</w:t>
      </w:r>
    </w:p>
    <w:p>
      <w:pPr/>
      <w:r>
        <w:rPr>
          <w:rFonts w:ascii="Times New Roman" w:hAnsi="Times New Roman" w:eastAsia="Times New Roman"/>
          <w:b/>
          <w:sz w:val="24"/>
        </w:rPr>
        <w:t>1.  Онлайн-продвижение: Активное ведение Instagram, Тик Ток и Google Maps.</w:t>
      </w:r>
    </w:p>
    <w:p>
      <w:pPr/>
      <w:r>
        <w:rPr>
          <w:rFonts w:ascii="Times New Roman" w:hAnsi="Times New Roman" w:eastAsia="Times New Roman"/>
          <w:b/>
          <w:sz w:val="24"/>
        </w:rPr>
        <w:t>2.  Партнёрство: Сотрудничество с туроператорами, организующими туры в Каракол, на Иссык-Куль и к Хан-Тенгри.</w:t>
      </w:r>
    </w:p>
    <w:p>
      <w:pPr/>
      <w:r>
        <w:rPr>
          <w:rFonts w:ascii="Times New Roman" w:hAnsi="Times New Roman" w:eastAsia="Times New Roman"/>
          <w:sz w:val="24"/>
        </w:rPr>
        <w:t>3.  Указатели: Установка заметных дорожных указателей на трассе Тюп-Кеген.</w:t>
      </w:r>
    </w:p>
    <w:p>
      <w:pPr/>
      <w:r>
        <w:rPr>
          <w:rFonts w:ascii="Times New Roman" w:hAnsi="Times New Roman" w:eastAsia="Times New Roman"/>
          <w:b/>
          <w:sz w:val="24"/>
        </w:rPr>
        <w:t>5. Финансовый план</w:t>
      </w:r>
    </w:p>
    <w:p>
      <w:pPr/>
      <w:r>
        <w:rPr>
          <w:rFonts w:ascii="Times New Roman" w:hAnsi="Times New Roman" w:eastAsia="Times New Roman"/>
          <w:b/>
          <w:sz w:val="24"/>
        </w:rPr>
        <w:t>5.1. Инвестиционные расходы за счет средств ФРР</w:t>
      </w:r>
    </w:p>
    <w:p>
      <w:pPr/>
      <w:r>
        <w:rPr>
          <w:rFonts w:ascii="Times New Roman" w:hAnsi="Times New Roman" w:eastAsia="Times New Roman"/>
          <w:sz w:val="24"/>
        </w:rPr>
        <w:t>Общий объем инвестиций составляет 2 860 000 сомов, из них 30% — вклад собственных средств в размере 858 000 сомов на строительство А-фрэйм дома (гостевой домик на 4-6 чел.) в количестве 1 единица.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Статья расходов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Стоимость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Строительство кафе-магазин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1 400 000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Вкл. Оборудование, мебель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Инфраструктура и коммуникация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300 000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Ограждение, подведение воды/электричества, ЛОС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Разрешения и маркетинг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152 000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Юридические расходы, первоначальная реклама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Приобретение кухонного оборудования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150 000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Мебель, посуда, полки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Строительство А-фрэйм дом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858 000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гостевой домик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2 860 000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</w:tbl>
    <w:p>
      <w:pPr/>
      <w:r>
        <w:rPr>
          <w:rFonts w:ascii="Times New Roman" w:hAnsi="Times New Roman" w:eastAsia="Times New Roman"/>
          <w:b/>
          <w:sz w:val="24"/>
        </w:rPr>
        <w:t>5.2. Прогноз доходов</w:t>
      </w:r>
    </w:p>
    <w:p>
      <w:pPr/>
      <w:r>
        <w:rPr>
          <w:rFonts w:ascii="Times New Roman" w:hAnsi="Times New Roman" w:eastAsia="Times New Roman"/>
          <w:sz w:val="24"/>
        </w:rPr>
        <w:t>Прогноз основан на сезонности и средней заполняемости (май-сентябрь).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Статья дохода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Количество гостей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Месячный расчет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Годовой доход (сом)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Магазин (средний чек 100 сом)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16-17 посетителей в день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50 000 * 5 мес.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250 000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Кафе (средний чек 100 сом)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16-17 посетителей в день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50 000 * 5 мес.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250 000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А-фрэйм дом (гостевой домик)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4-6 чел.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80 000 * 5 мес.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400 000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ИТОГО ГОДОВОЙ ВЫРУЧКИ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4"/>
              </w:rPr>
              <w:t>900 000</w:t>
            </w:r>
          </w:p>
        </w:tc>
      </w:tr>
    </w:tbl>
    <w:p>
      <w:pPr/>
      <w:r>
        <w:rPr>
          <w:rFonts w:ascii="Times New Roman" w:hAnsi="Times New Roman" w:eastAsia="Times New Roman"/>
          <w:b/>
          <w:sz w:val="24"/>
        </w:rPr>
        <w:t>5.3. Операционные расходы</w:t>
      </w:r>
    </w:p>
    <w:p>
      <w:pPr/>
      <w:r>
        <w:rPr>
          <w:rFonts w:ascii="Times New Roman" w:hAnsi="Times New Roman" w:eastAsia="Times New Roman"/>
          <w:sz w:val="24"/>
        </w:rPr>
        <w:t>Годовые операционные расходы составляют 200 000 сомов.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Статья расходов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Годовая сумма (сом)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Постоянные расходы; налог/РЭС/тазалык и т.д.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12 500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3125 сом в мес.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Зарплата сотрудникам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175 000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7000 сом в мес.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Переменные расходы/логистика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12 500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3125 сом в мес.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  <w:t>200 000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</w:tbl>
    <w:p>
      <w:pPr/>
      <w:r>
        <w:rPr>
          <w:rFonts w:ascii="Times New Roman" w:hAnsi="Times New Roman" w:eastAsia="Times New Roman"/>
          <w:b/>
          <w:sz w:val="24"/>
        </w:rPr>
        <w:t>Выводы:</w:t>
      </w:r>
    </w:p>
    <w:p>
      <w:pPr/>
      <w:r>
        <w:rPr>
          <w:rFonts w:ascii="Times New Roman" w:hAnsi="Times New Roman" w:eastAsia="Times New Roman"/>
          <w:sz w:val="24"/>
        </w:rPr>
        <w:t>Проект “Кок Жайык" демонстрирует высокую финансовую привлекательность со сроком окупаемости менее 3 лет. Стратегическое расположение на обновленной трассе. Это стабильный малый бизнес, который обеспечит рабочим местом местных жителей и при этом будет приносить налоговые сборы в регион. А так же будет примером для развития туризма как дополнительный доход местным жителям. Уникальность проекта в том, что локация находится пересечении стратегических развязок, которое соединяет Тюпский регион с Аксууйским с востока. Как примечание могу сказать, что от КПП “Каркыра” до локации проекта отсутствует достойное место отдыха с парковочным местом.</w:t>
      </w:r>
    </w:p>
    <w:p w:rsidR="00474118" w:rsidRDefault="00D97579">
      <w:pPr>
        <w:pStyle w:val="MdHeading1"/>
      </w:pPr>
      <w:r>
        <w:rPr>
          <w:rFonts w:ascii="Times New Roman" w:hAnsi="Times New Roman" w:eastAsia="Times New Roman"/>
          <w:sz w:val="24"/>
        </w:rPr>
        <w:t>Раздел: Охрана окружающей среды</w:t>
      </w:r>
    </w:p>
    <w:p w:rsidR="00474118" w:rsidRDefault="00D97579">
      <w:pPr>
        <w:pStyle w:val="MdParagraph"/>
      </w:pPr>
      <w:r>
        <w:rPr>
          <w:rFonts w:ascii="Times New Roman" w:hAnsi="Times New Roman" w:eastAsia="Times New Roman"/>
          <w:sz w:val="24"/>
        </w:rPr>
        <w:t>Реализация проекта туристическо-рекреационного центра «Кок-</w:t>
      </w:r>
      <w:proofErr w:type="spellStart"/>
      <w:r>
        <w:rPr>
          <w:rFonts w:ascii="Times New Roman" w:hAnsi="Times New Roman" w:eastAsia="Times New Roman"/>
          <w:sz w:val="24"/>
        </w:rPr>
        <w:t>Жайык</w:t>
      </w:r>
      <w:proofErr w:type="spellEnd"/>
      <w:r>
        <w:rPr>
          <w:rFonts w:ascii="Times New Roman" w:hAnsi="Times New Roman" w:eastAsia="Times New Roman"/>
          <w:sz w:val="24"/>
        </w:rPr>
        <w:t xml:space="preserve">» осуществляется в экологически чувствительном регионе Иссык-Кульской области. В соответствии с Законом КР «Об охране окружающей среды» и Законом «Об устойчивом развитии эколого-экономической </w:t>
      </w:r>
      <w:r>
        <w:rPr>
          <w:rFonts w:ascii="Times New Roman" w:hAnsi="Times New Roman" w:eastAsia="Times New Roman"/>
          <w:sz w:val="24"/>
        </w:rPr>
        <w:t>системы «Иссык-Куль», проект предусматривает комплекс мер по минимизации негативного воздействия на природу.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Heading2"/>
      </w:pPr>
      <w:r>
        <w:rPr>
          <w:rFonts w:ascii="Times New Roman" w:hAnsi="Times New Roman" w:eastAsia="Times New Roman"/>
          <w:sz w:val="24"/>
        </w:rPr>
        <w:t>1. Источники загрязнения в период строительства</w:t>
      </w:r>
    </w:p>
    <w:p w:rsidR="00474118" w:rsidRDefault="00D97579">
      <w:pPr>
        <w:pStyle w:val="MdParagraph"/>
      </w:pPr>
      <w:r>
        <w:rPr>
          <w:rFonts w:ascii="Times New Roman" w:hAnsi="Times New Roman" w:eastAsia="Times New Roman"/>
          <w:sz w:val="24"/>
        </w:rPr>
        <w:t>Период строительства является наиболее интенсивным этапом воздействия на окружающую среду. Основны</w:t>
      </w:r>
      <w:r>
        <w:rPr>
          <w:rFonts w:ascii="Times New Roman" w:hAnsi="Times New Roman" w:eastAsia="Times New Roman"/>
          <w:sz w:val="24"/>
        </w:rPr>
        <w:t>ми источниками загрязнения являются:</w:t>
      </w:r>
    </w:p>
    <w:p w:rsidR="00474118" w:rsidRDefault="0047411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4"/>
        <w:gridCol w:w="4058"/>
        <w:gridCol w:w="2484"/>
      </w:tblGrid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74118" w:rsidRDefault="00D97579">
            <w:pPr>
              <w:pStyle w:val="MdTableHeader"/>
            </w:pPr>
            <w:r>
              <w:rPr>
                <w:rFonts w:ascii="Times New Roman" w:hAnsi="Times New Roman" w:eastAsia="Times New Roman"/>
                <w:sz w:val="24"/>
              </w:rPr>
              <w:t>Источник воздействия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74118" w:rsidRDefault="00D97579">
            <w:pPr>
              <w:pStyle w:val="MdTableHeader"/>
            </w:pPr>
            <w:r>
              <w:rPr>
                <w:rFonts w:ascii="Times New Roman" w:hAnsi="Times New Roman" w:eastAsia="Times New Roman"/>
                <w:sz w:val="24"/>
              </w:rPr>
              <w:t>Вид загрязнения / Воздействие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74118" w:rsidRDefault="00D97579">
            <w:pPr>
              <w:pStyle w:val="MdTableHeader"/>
            </w:pPr>
            <w:r>
              <w:rPr>
                <w:rFonts w:ascii="Times New Roman" w:hAnsi="Times New Roman" w:eastAsia="Times New Roman"/>
                <w:sz w:val="24"/>
              </w:rPr>
              <w:t>Характер воздействия</w:t>
            </w:r>
          </w:p>
        </w:tc>
      </w:tr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Style w:val="MdStrong"/>
                <w:rFonts w:ascii="Times New Roman" w:hAnsi="Times New Roman" w:eastAsia="Times New Roman"/>
                <w:sz w:val="24"/>
              </w:rPr>
              <w:t>Строительная техника и транспорт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Fonts w:ascii="Times New Roman" w:hAnsi="Times New Roman" w:eastAsia="Times New Roman"/>
                <w:sz w:val="24"/>
              </w:rPr>
              <w:t>Выбросы загрязняющих веществ (</w:t>
            </w:r>
            <w:proofErr w:type="spellStart"/>
            <w:r>
              <w:rPr>
                <w:rFonts w:ascii="Times New Roman" w:hAnsi="Times New Roman" w:eastAsia="Times New Roman"/>
                <w:sz w:val="24"/>
              </w:rPr>
              <w:t>NOx</w:t>
            </w:r>
            <w:proofErr w:type="spellEnd"/>
            <w:r>
              <w:rPr>
                <w:rFonts w:ascii="Times New Roman" w:hAnsi="Times New Roman" w:eastAsia="Times New Roman"/>
                <w:sz w:val="24"/>
              </w:rPr>
              <w:t>, CO, сажа), шум и вибрация.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Fonts w:ascii="Times New Roman" w:hAnsi="Times New Roman" w:eastAsia="Times New Roman"/>
                <w:sz w:val="24"/>
              </w:rPr>
              <w:t>Временный, локальный.</w:t>
            </w:r>
          </w:p>
        </w:tc>
      </w:tr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Style w:val="MdStrong"/>
                <w:rFonts w:ascii="Times New Roman" w:hAnsi="Times New Roman" w:eastAsia="Times New Roman"/>
                <w:sz w:val="24"/>
              </w:rPr>
              <w:t>Земляные работы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Fonts w:ascii="Times New Roman" w:hAnsi="Times New Roman" w:eastAsia="Times New Roman"/>
                <w:sz w:val="24"/>
              </w:rPr>
              <w:t>Пылеобразование, нарушение почвенного покрова, риск эрозии.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Fonts w:ascii="Times New Roman" w:hAnsi="Times New Roman" w:eastAsia="Times New Roman"/>
                <w:sz w:val="24"/>
              </w:rPr>
              <w:t>Локальный, восстанавливаемый.</w:t>
            </w:r>
          </w:p>
        </w:tc>
      </w:tr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Style w:val="MdStrong"/>
                <w:rFonts w:ascii="Times New Roman" w:hAnsi="Times New Roman" w:eastAsia="Times New Roman"/>
                <w:sz w:val="24"/>
              </w:rPr>
              <w:t>Строительные материалы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Fonts w:ascii="Times New Roman" w:hAnsi="Times New Roman" w:eastAsia="Times New Roman"/>
                <w:sz w:val="24"/>
              </w:rPr>
              <w:t>Отходы (обрезки дерева, упаковка, остатки бетона), риск проливов ГСМ.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Fonts w:ascii="Times New Roman" w:hAnsi="Times New Roman" w:eastAsia="Times New Roman"/>
                <w:sz w:val="24"/>
              </w:rPr>
              <w:t>Твердые и жидкие отходы.</w:t>
            </w:r>
          </w:p>
        </w:tc>
      </w:tr>
      <w:tr w:rsidR="00474118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Style w:val="MdStrong"/>
                <w:rFonts w:ascii="Times New Roman" w:hAnsi="Times New Roman" w:eastAsia="Times New Roman"/>
                <w:sz w:val="24"/>
              </w:rPr>
              <w:t>Временный персонал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Fonts w:ascii="Times New Roman" w:hAnsi="Times New Roman" w:eastAsia="Times New Roman"/>
                <w:sz w:val="24"/>
              </w:rPr>
              <w:t>Хозяйственно-бытовые стоки,</w:t>
            </w:r>
            <w:r>
              <w:rPr>
                <w:rFonts w:ascii="Times New Roman" w:hAnsi="Times New Roman" w:eastAsia="Times New Roman"/>
                <w:sz w:val="24"/>
              </w:rPr>
              <w:t xml:space="preserve"> твердые бытовые отходы (ТБО).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4118" w:rsidRDefault="00D97579">
            <w:pPr>
              <w:pStyle w:val="MdTableCell"/>
            </w:pPr>
            <w:r>
              <w:rPr>
                <w:rFonts w:ascii="Times New Roman" w:hAnsi="Times New Roman" w:eastAsia="Times New Roman"/>
                <w:sz w:val="24"/>
              </w:rPr>
              <w:t>Биологическое и механическое.</w:t>
            </w:r>
          </w:p>
        </w:tc>
      </w:tr>
    </w:tbl>
    <w:p w:rsidR="00474118" w:rsidRDefault="00D97579">
      <w:pPr>
        <w:pStyle w:val="MdHeading2"/>
      </w:pPr>
      <w:r>
        <w:rPr>
          <w:rFonts w:ascii="Times New Roman" w:hAnsi="Times New Roman" w:eastAsia="Times New Roman"/>
          <w:sz w:val="24"/>
        </w:rPr>
        <w:t>2. Меры по предотвращению загрязнения при строительстве</w:t>
      </w:r>
    </w:p>
    <w:p w:rsidR="00474118" w:rsidRDefault="00D97579">
      <w:pPr>
        <w:pStyle w:val="MdParagraph"/>
      </w:pPr>
      <w:r>
        <w:rPr>
          <w:rFonts w:ascii="Times New Roman" w:hAnsi="Times New Roman" w:eastAsia="Times New Roman"/>
          <w:sz w:val="24"/>
        </w:rPr>
        <w:t>Для минимизации вышеуказанных воздействий устанавливаются следующие регламенты: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ListItem"/>
        <w:numPr>
          <w:ilvl w:val="0"/>
          <w:numId w:val="10"/>
        </w:numPr>
      </w:pPr>
      <w:r>
        <w:rPr>
          <w:rStyle w:val="MdStrong"/>
          <w:rFonts w:ascii="Times New Roman" w:hAnsi="Times New Roman" w:eastAsia="Times New Roman"/>
          <w:sz w:val="24"/>
        </w:rPr>
        <w:t>Защита атмосферного воздуха:</w:t>
      </w:r>
      <w:r>
        <w:rPr>
          <w:rFonts w:ascii="Times New Roman" w:hAnsi="Times New Roman" w:eastAsia="Times New Roman"/>
          <w:sz w:val="24"/>
        </w:rPr>
        <w:t xml:space="preserve"> Использование исправной техники с действующими сертификатами экологического контроля. Подавление пыли путем орошения площадки в засушливые периоды.</w:t>
      </w:r>
    </w:p>
    <w:p w:rsidR="00474118" w:rsidRDefault="00D97579">
      <w:pPr>
        <w:pStyle w:val="MdListItem"/>
        <w:numPr>
          <w:ilvl w:val="0"/>
          <w:numId w:val="10"/>
        </w:numPr>
      </w:pPr>
      <w:r>
        <w:rPr>
          <w:rStyle w:val="MdStrong"/>
          <w:rFonts w:ascii="Times New Roman" w:hAnsi="Times New Roman" w:eastAsia="Times New Roman"/>
          <w:sz w:val="24"/>
        </w:rPr>
        <w:t>Охрана почв и земель:</w:t>
      </w:r>
      <w:r>
        <w:rPr>
          <w:rFonts w:ascii="Times New Roman" w:hAnsi="Times New Roman" w:eastAsia="Times New Roman"/>
          <w:sz w:val="24"/>
        </w:rPr>
        <w:t xml:space="preserve"> Снятие и сохранение плодородного слоя почвы перед началом работ для последующей рекул</w:t>
      </w:r>
      <w:r>
        <w:rPr>
          <w:rFonts w:ascii="Times New Roman" w:hAnsi="Times New Roman" w:eastAsia="Times New Roman"/>
          <w:sz w:val="24"/>
        </w:rPr>
        <w:t>ьтивации. Строгое ограничение движения транспорта установленными дорогами.</w:t>
      </w:r>
    </w:p>
    <w:p w:rsidR="00474118" w:rsidRDefault="00D97579">
      <w:pPr>
        <w:pStyle w:val="MdListItem"/>
        <w:numPr>
          <w:ilvl w:val="0"/>
          <w:numId w:val="10"/>
        </w:numPr>
      </w:pPr>
      <w:r>
        <w:rPr>
          <w:rStyle w:val="MdStrong"/>
          <w:rFonts w:ascii="Times New Roman" w:hAnsi="Times New Roman" w:eastAsia="Times New Roman"/>
          <w:sz w:val="24"/>
        </w:rPr>
        <w:t>Управление отходами:</w:t>
      </w:r>
      <w:r>
        <w:rPr>
          <w:rFonts w:ascii="Times New Roman" w:hAnsi="Times New Roman" w:eastAsia="Times New Roman"/>
          <w:sz w:val="24"/>
        </w:rPr>
        <w:t xml:space="preserve"> Организация площадок для раздельного сбора строительного мусора и ТБО. Заключение договоров на вывоз отходов со специализированными службами </w:t>
      </w:r>
      <w:proofErr w:type="spellStart"/>
      <w:r>
        <w:rPr>
          <w:rFonts w:ascii="Times New Roman" w:hAnsi="Times New Roman" w:eastAsia="Times New Roman"/>
          <w:sz w:val="24"/>
        </w:rPr>
        <w:t>Тюпского</w:t>
      </w:r>
      <w:proofErr w:type="spellEnd"/>
      <w:r>
        <w:rPr>
          <w:rFonts w:ascii="Times New Roman" w:hAnsi="Times New Roman" w:eastAsia="Times New Roman"/>
          <w:sz w:val="24"/>
        </w:rPr>
        <w:t xml:space="preserve"> района.</w:t>
      </w:r>
    </w:p>
    <w:p w:rsidR="00474118" w:rsidRDefault="00D97579">
      <w:pPr>
        <w:pStyle w:val="MdListItem"/>
        <w:numPr>
          <w:ilvl w:val="0"/>
          <w:numId w:val="10"/>
        </w:numPr>
      </w:pPr>
      <w:r>
        <w:rPr>
          <w:rFonts w:ascii="Times New Roman" w:hAnsi="Times New Roman" w:eastAsia="Times New Roman"/>
          <w:sz w:val="24"/>
        </w:rPr>
        <w:t>**</w:t>
      </w:r>
      <w:r>
        <w:rPr>
          <w:rFonts w:ascii="Times New Roman" w:hAnsi="Times New Roman" w:eastAsia="Times New Roman"/>
          <w:sz w:val="24"/>
        </w:rPr>
        <w:t xml:space="preserve">Защита водных </w:t>
      </w:r>
      <w:proofErr w:type="gramStart"/>
      <w:r>
        <w:rPr>
          <w:rFonts w:ascii="Times New Roman" w:hAnsi="Times New Roman" w:eastAsia="Times New Roman"/>
          <w:sz w:val="24"/>
        </w:rPr>
        <w:t>ресурсов:  *</w:t>
      </w:r>
      <w:proofErr w:type="gramEnd"/>
      <w:r>
        <w:rPr>
          <w:rFonts w:ascii="Times New Roman" w:hAnsi="Times New Roman" w:eastAsia="Times New Roman"/>
          <w:sz w:val="24"/>
        </w:rPr>
        <w:t>* Запрет на мойку техники на территории объекта. Использование</w:t>
      </w:r>
      <w:r>
        <w:rPr>
          <w:rFonts w:ascii="Times New Roman" w:hAnsi="Times New Roman" w:eastAsia="Times New Roman"/>
          <w:sz w:val="24"/>
          <w:lang w:val="ky-KG"/>
        </w:rPr>
        <w:t xml:space="preserve"> </w:t>
      </w:r>
      <w:r>
        <w:rPr>
          <w:rFonts w:ascii="Times New Roman" w:hAnsi="Times New Roman" w:eastAsia="Times New Roman"/>
          <w:sz w:val="24"/>
        </w:rPr>
        <w:t>туалет</w:t>
      </w:r>
      <w:r>
        <w:rPr>
          <w:rFonts w:ascii="Times New Roman" w:hAnsi="Times New Roman" w:eastAsia="Times New Roman"/>
          <w:sz w:val="24"/>
          <w:lang w:val="ky-KG"/>
        </w:rPr>
        <w:t>а с возможность выкачивание содержимого без риска просачивание в почву</w:t>
      </w:r>
      <w:bookmarkStart w:id="0" w:name="_GoBack"/>
      <w:bookmarkEnd w:id="0"/>
      <w:r>
        <w:rPr>
          <w:rFonts w:ascii="Times New Roman" w:hAnsi="Times New Roman" w:eastAsia="Times New Roman"/>
          <w:sz w:val="24"/>
        </w:rPr>
        <w:t>.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Heading2"/>
      </w:pPr>
      <w:r>
        <w:rPr>
          <w:rFonts w:ascii="Times New Roman" w:hAnsi="Times New Roman" w:eastAsia="Times New Roman"/>
          <w:sz w:val="24"/>
        </w:rPr>
        <w:t>3. Экологические аспекты эксплуатации (Эко-стандарты проекта)</w:t>
      </w:r>
    </w:p>
    <w:p w:rsidR="00474118" w:rsidRDefault="00D97579">
      <w:pPr>
        <w:pStyle w:val="MdParagraph"/>
      </w:pPr>
      <w:r>
        <w:rPr>
          <w:rFonts w:ascii="Times New Roman" w:hAnsi="Times New Roman" w:eastAsia="Times New Roman"/>
          <w:sz w:val="24"/>
        </w:rPr>
        <w:t>Проект «Кок-</w:t>
      </w:r>
      <w:proofErr w:type="spellStart"/>
      <w:r>
        <w:rPr>
          <w:rFonts w:ascii="Times New Roman" w:hAnsi="Times New Roman" w:eastAsia="Times New Roman"/>
          <w:sz w:val="24"/>
        </w:rPr>
        <w:t>Жайык</w:t>
      </w:r>
      <w:proofErr w:type="spellEnd"/>
      <w:r>
        <w:rPr>
          <w:rFonts w:ascii="Times New Roman" w:hAnsi="Times New Roman" w:eastAsia="Times New Roman"/>
          <w:sz w:val="24"/>
        </w:rPr>
        <w:t>» позиционируется как эко-центр, что под</w:t>
      </w:r>
      <w:r>
        <w:rPr>
          <w:rFonts w:ascii="Times New Roman" w:hAnsi="Times New Roman" w:eastAsia="Times New Roman"/>
          <w:sz w:val="24"/>
        </w:rPr>
        <w:t>разумевает внедрение «зеленых» технологий: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ListItem"/>
        <w:numPr>
          <w:ilvl w:val="0"/>
          <w:numId w:val="12"/>
        </w:numPr>
      </w:pPr>
      <w:r>
        <w:rPr>
          <w:rStyle w:val="MdStrong"/>
          <w:rFonts w:ascii="Times New Roman" w:hAnsi="Times New Roman" w:eastAsia="Times New Roman"/>
          <w:sz w:val="24"/>
        </w:rPr>
        <w:t>Водоотведение:</w:t>
      </w:r>
      <w:r>
        <w:rPr>
          <w:rFonts w:ascii="Times New Roman" w:hAnsi="Times New Roman" w:eastAsia="Times New Roman"/>
          <w:sz w:val="24"/>
        </w:rPr>
        <w:t xml:space="preserve"> Установка современных локальных очистных сооружений (ЛОС) или герметичных септиков с системой глубокой биологической очистки, исключающих попадание стоков в грунтовые воды.</w:t>
      </w:r>
    </w:p>
    <w:p w:rsidR="00474118" w:rsidRDefault="00D97579">
      <w:pPr>
        <w:pStyle w:val="MdListItem"/>
        <w:numPr>
          <w:ilvl w:val="0"/>
          <w:numId w:val="12"/>
        </w:numPr>
      </w:pPr>
      <w:proofErr w:type="spellStart"/>
      <w:r>
        <w:rPr>
          <w:rStyle w:val="MdStrong"/>
          <w:rFonts w:ascii="Times New Roman" w:hAnsi="Times New Roman" w:eastAsia="Times New Roman"/>
          <w:sz w:val="24"/>
        </w:rPr>
        <w:t>Энергоэффективность</w:t>
      </w:r>
      <w:proofErr w:type="spellEnd"/>
      <w:r>
        <w:rPr>
          <w:rStyle w:val="MdStrong"/>
          <w:rFonts w:ascii="Times New Roman" w:hAnsi="Times New Roman" w:eastAsia="Times New Roman"/>
          <w:sz w:val="24"/>
        </w:rPr>
        <w:t>:</w:t>
      </w:r>
      <w:r>
        <w:rPr>
          <w:rFonts w:ascii="Times New Roman" w:hAnsi="Times New Roman" w:eastAsia="Times New Roman"/>
          <w:sz w:val="24"/>
        </w:rPr>
        <w:t xml:space="preserve"> Исп</w:t>
      </w:r>
      <w:r>
        <w:rPr>
          <w:rFonts w:ascii="Times New Roman" w:hAnsi="Times New Roman" w:eastAsia="Times New Roman"/>
          <w:sz w:val="24"/>
        </w:rPr>
        <w:t>ользование энергосберегающего освещения и теплоизоляции домов A-</w:t>
      </w:r>
      <w:proofErr w:type="spellStart"/>
      <w:r>
        <w:rPr>
          <w:rFonts w:ascii="Times New Roman" w:hAnsi="Times New Roman" w:eastAsia="Times New Roman"/>
          <w:sz w:val="24"/>
        </w:rPr>
        <w:t>frame</w:t>
      </w:r>
      <w:proofErr w:type="spellEnd"/>
      <w:r>
        <w:rPr>
          <w:rFonts w:ascii="Times New Roman" w:hAnsi="Times New Roman" w:eastAsia="Times New Roman"/>
          <w:sz w:val="24"/>
        </w:rPr>
        <w:t xml:space="preserve"> для снижения углеродного следа.</w:t>
      </w:r>
    </w:p>
    <w:p w:rsidR="00474118" w:rsidRDefault="00D97579">
      <w:pPr>
        <w:pStyle w:val="MdListItem"/>
        <w:numPr>
          <w:ilvl w:val="0"/>
          <w:numId w:val="12"/>
        </w:numPr>
      </w:pPr>
      <w:r>
        <w:rPr>
          <w:rStyle w:val="MdStrong"/>
          <w:rFonts w:ascii="Times New Roman" w:hAnsi="Times New Roman" w:eastAsia="Times New Roman"/>
          <w:sz w:val="24"/>
        </w:rPr>
        <w:t>Сохранение ландшафта:</w:t>
      </w:r>
      <w:r>
        <w:rPr>
          <w:rFonts w:ascii="Times New Roman" w:hAnsi="Times New Roman" w:eastAsia="Times New Roman"/>
          <w:sz w:val="24"/>
        </w:rPr>
        <w:t xml:space="preserve"> Максимальное сохранение естественного рельефа и растительности. Озеленение территории эндемичными видами растений.</w:t>
      </w:r>
    </w:p>
    <w:p w:rsidR="00474118" w:rsidRDefault="00D97579">
      <w:pPr>
        <w:pStyle w:val="MdListItem"/>
        <w:numPr>
          <w:ilvl w:val="0"/>
          <w:numId w:val="12"/>
        </w:numPr>
      </w:pPr>
      <w:r>
        <w:rPr>
          <w:rStyle w:val="MdStrong"/>
          <w:rFonts w:ascii="Times New Roman" w:hAnsi="Times New Roman" w:eastAsia="Times New Roman"/>
          <w:sz w:val="24"/>
        </w:rPr>
        <w:t>Эко-просвещение: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Размещение информационных стендов для туристов о правилах поведения в горной местности и бережном отношении к природе </w:t>
      </w:r>
      <w:proofErr w:type="spellStart"/>
      <w:r>
        <w:rPr>
          <w:rFonts w:ascii="Times New Roman" w:hAnsi="Times New Roman" w:eastAsia="Times New Roman"/>
          <w:sz w:val="24"/>
        </w:rPr>
        <w:t>Каркыры</w:t>
      </w:r>
      <w:proofErr w:type="spellEnd"/>
      <w:r>
        <w:rPr>
          <w:rFonts w:ascii="Times New Roman" w:hAnsi="Times New Roman" w:eastAsia="Times New Roman"/>
          <w:sz w:val="24"/>
        </w:rPr>
        <w:t>.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Heading2"/>
      </w:pPr>
      <w:r>
        <w:rPr>
          <w:rFonts w:ascii="Times New Roman" w:hAnsi="Times New Roman" w:eastAsia="Times New Roman"/>
          <w:sz w:val="24"/>
        </w:rPr>
        <w:t>4. Соответствие законодательству</w:t>
      </w:r>
    </w:p>
    <w:p w:rsidR="00474118" w:rsidRDefault="00D97579">
      <w:pPr>
        <w:pStyle w:val="MdParagraph"/>
      </w:pPr>
      <w:r>
        <w:rPr>
          <w:rFonts w:ascii="Times New Roman" w:hAnsi="Times New Roman" w:eastAsia="Times New Roman"/>
          <w:sz w:val="24"/>
        </w:rPr>
        <w:t>Проект обязуется соблюдать нормы: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ListItem"/>
        <w:numPr>
          <w:ilvl w:val="0"/>
          <w:numId w:val="10"/>
        </w:numPr>
      </w:pPr>
      <w:r>
        <w:rPr>
          <w:rFonts w:ascii="Times New Roman" w:hAnsi="Times New Roman" w:eastAsia="Times New Roman"/>
          <w:sz w:val="24"/>
        </w:rPr>
        <w:t>Закона КР «Об охране окружающей среды»;</w:t>
      </w:r>
    </w:p>
    <w:p w:rsidR="00474118" w:rsidRDefault="00D97579">
      <w:pPr>
        <w:pStyle w:val="MdListItem"/>
        <w:numPr>
          <w:ilvl w:val="0"/>
          <w:numId w:val="10"/>
        </w:numPr>
      </w:pPr>
      <w:r>
        <w:rPr>
          <w:rFonts w:ascii="Times New Roman" w:hAnsi="Times New Roman" w:eastAsia="Times New Roman"/>
          <w:sz w:val="24"/>
        </w:rPr>
        <w:t>Закона КР «Об устойчивом развитии эколого-экономической системы «Иссык-Куль»;</w:t>
      </w:r>
    </w:p>
    <w:p w:rsidR="00474118" w:rsidRDefault="00D97579">
      <w:pPr>
        <w:pStyle w:val="MdListItem"/>
        <w:numPr>
          <w:ilvl w:val="0"/>
          <w:numId w:val="10"/>
        </w:numPr>
      </w:pPr>
      <w:r>
        <w:rPr>
          <w:rFonts w:ascii="Times New Roman" w:hAnsi="Times New Roman" w:eastAsia="Times New Roman"/>
          <w:sz w:val="24"/>
        </w:rPr>
        <w:t xml:space="preserve">Технического регламента «Обеспечение экологической безопасности в </w:t>
      </w:r>
      <w:proofErr w:type="spellStart"/>
      <w:r>
        <w:rPr>
          <w:rFonts w:ascii="Times New Roman" w:hAnsi="Times New Roman" w:eastAsia="Times New Roman"/>
          <w:sz w:val="24"/>
        </w:rPr>
        <w:t>Кыргызской</w:t>
      </w:r>
      <w:proofErr w:type="spellEnd"/>
      <w:r>
        <w:rPr>
          <w:rFonts w:ascii="Times New Roman" w:hAnsi="Times New Roman" w:eastAsia="Times New Roman"/>
          <w:sz w:val="24"/>
        </w:rPr>
        <w:t xml:space="preserve"> Республике».</w:t>
      </w:r>
    </w:p>
    <w:p w:rsidR="00474118" w:rsidRDefault="00474118">
      <w:pPr>
        <w:pStyle w:val="MdSpace"/>
        <w:spacing w:after="60"/>
      </w:pPr>
    </w:p>
    <w:p w:rsidR="00474118" w:rsidRDefault="00D97579">
      <w:pPr>
        <w:pStyle w:val="MdBlockquote"/>
      </w:pPr>
      <w:r>
        <w:rPr>
          <w:rStyle w:val="MdStrong"/>
          <w:rFonts w:ascii="Times New Roman" w:hAnsi="Times New Roman" w:eastAsia="Times New Roman"/>
          <w:sz w:val="24"/>
        </w:rPr>
        <w:t>Примечание:</w:t>
      </w:r>
      <w:r>
        <w:rPr>
          <w:rFonts w:ascii="Times New Roman" w:hAnsi="Times New Roman" w:eastAsia="Times New Roman"/>
          <w:sz w:val="24"/>
        </w:rPr>
        <w:t xml:space="preserve"> Все строительные работы будут проводиться строго в границах отведенного уча</w:t>
      </w:r>
      <w:r>
        <w:rPr>
          <w:rFonts w:ascii="Times New Roman" w:hAnsi="Times New Roman" w:eastAsia="Times New Roman"/>
          <w:sz w:val="24"/>
        </w:rPr>
        <w:t>стка, исключая воздействие на прилегающие пастбища и заповедные зоны.</w:t>
      </w:r>
    </w:p>
    <w:p w:rsidR="00474118" w:rsidRDefault="00474118">
      <w:pPr>
        <w:pStyle w:val="MdSpace"/>
        <w:spacing w:after="60"/>
      </w:pPr>
    </w:p>
    <w:p>
      <w:pPr>
        <w:pStyle w:val="Heading1"/>
        <w:pStyle w:val="MdHeading1"/>
      </w:pPr>
      <w:r>
        <w:rPr>
          <w:rFonts w:ascii="Times New Roman" w:hAnsi="Times New Roman" w:eastAsia="Times New Roman"/>
          <w:sz w:val="24"/>
        </w:rPr>
        <w:t xml:space="preserve">ПРОЕКТ: ЭКОЛОГИЧЕСКИЙ ПАСПОРТ ПРЕДПРИЯТИЯ</w:t>
      </w:r>
    </w:p>
    <w:p>
      <w:pPr>
        <w:pStyle w:val="Heading2"/>
        <w:pStyle w:val="MdHeading2"/>
      </w:pPr>
      <w:r>
        <w:rPr>
          <w:rFonts w:ascii="Times New Roman" w:hAnsi="Times New Roman" w:eastAsia="Times New Roman"/>
          <w:sz w:val="24"/>
        </w:rPr>
        <w:t xml:space="preserve">Туристическо-рекреационный центр «Кок-Жайык»</w:t>
      </w:r>
    </w:p>
    <w:p>
      <w:pPr>
        <w:pStyle w:val="MdParagraph"/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Местонахождение:</w:t>
      </w:r>
      <w:r>
        <w:rPr>
          <w:rFonts w:ascii="Times New Roman" w:hAnsi="Times New Roman" w:eastAsia="Times New Roman"/>
          <w:sz w:val="24"/>
        </w:rPr>
        <w:t xml:space="preserve"> Иссык-Кульская область, Тюпский район, трасса Тюп-Кеген, 53-й км.
</w:t>
      </w: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Координаты:</w:t>
      </w:r>
      <w:r>
        <w:rPr>
          <w:rFonts w:ascii="Times New Roman" w:hAnsi="Times New Roman" w:eastAsia="Times New Roman"/>
          <w:sz w:val="24"/>
        </w:rPr>
        <w:t xml:space="preserve"> 42.736564, 78.935704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Fonts w:ascii="Times New Roman" w:hAnsi="Times New Roman" w:eastAsia="Times New Roman"/>
          <w:sz w:val="24"/>
        </w:rPr>
        <w:t xml:space="preserve">1. Общие сведения о предприятии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Наименование:</w:t>
      </w:r>
      <w:r>
        <w:rPr>
          <w:rFonts w:ascii="Times New Roman" w:hAnsi="Times New Roman" w:eastAsia="Times New Roman"/>
          <w:sz w:val="24"/>
        </w:rPr>
        <w:t xml:space="preserve"> ТРЦ «Кок-Жайык» (Проект «Каркыра-Транзит»).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Вид деятельности:</w:t>
      </w:r>
      <w:r>
        <w:rPr>
          <w:rFonts w:ascii="Times New Roman" w:hAnsi="Times New Roman" w:eastAsia="Times New Roman"/>
          <w:sz w:val="24"/>
        </w:rPr>
        <w:t xml:space="preserve"> Оказание туристических услуг, придорожный сервис (кафе, магазин), краткосрочное проживание.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Проектная мощность:</w:t>
      </w:r>
      <w:r>
        <w:rPr>
          <w:rFonts w:ascii="Times New Roman" w:hAnsi="Times New Roman" w:eastAsia="Times New Roman"/>
          <w:sz w:val="24"/>
        </w:rPr>
        <w:t xml:space="preserve"> </w:t>
      </w:r>
    </w:p>
    <w:p>
      <w:pPr>
        <w:pStyle w:val="MdListItem"/>
        <w:numPr>
          <w:ilvl w:val="1"/>
          <w:numId w:val="13"/>
        </w:numPr>
      </w:pPr>
      <w:r>
        <w:rPr>
          <w:rFonts w:ascii="Times New Roman" w:hAnsi="Times New Roman" w:eastAsia="Times New Roman"/>
          <w:sz w:val="24"/>
        </w:rPr>
        <w:t xml:space="preserve">Размещение: до 30 человек одновременно (дома A-frame + юрты).</w:t>
      </w:r>
    </w:p>
    <w:p>
      <w:pPr>
        <w:pStyle w:val="MdListItem"/>
        <w:numPr>
          <w:ilvl w:val="1"/>
          <w:numId w:val="13"/>
        </w:numPr>
      </w:pPr>
      <w:r>
        <w:rPr>
          <w:rFonts w:ascii="Times New Roman" w:hAnsi="Times New Roman" w:eastAsia="Times New Roman"/>
          <w:sz w:val="24"/>
        </w:rPr>
        <w:t xml:space="preserve">Общепит: 20-30 посадочных мест.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Общая площадь участка:</w:t>
      </w:r>
      <w:r>
        <w:rPr>
          <w:rFonts w:ascii="Times New Roman" w:hAnsi="Times New Roman" w:eastAsia="Times New Roman"/>
          <w:sz w:val="24"/>
        </w:rPr>
        <w:t xml:space="preserve"> [Указать согласно акту на землю] га.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Fonts w:ascii="Times New Roman" w:hAnsi="Times New Roman" w:eastAsia="Times New Roman"/>
          <w:sz w:val="24"/>
        </w:rPr>
        <w:t xml:space="preserve">2. Эколого-экономические показатели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Показатель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Значение (прогноз)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Потребление воды (хоз-бытовое)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4.5 - 6.0 м³/сутки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Объем сточных вод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4.0 - 5.5 м³/сутки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Образование ТБО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0.5 - 0.8 тонн/год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Площадь озеленения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[Указать]% от общей площади</w:t>
            </w:r>
          </w:p>
        </w:tc>
      </w:tr>
    </w:tbl>
    <w:p>
      <w:pPr>
        <w:pStyle w:val="Heading3"/>
        <w:pStyle w:val="MdHeading3"/>
      </w:pPr>
      <w:r>
        <w:rPr>
          <w:rFonts w:ascii="Times New Roman" w:hAnsi="Times New Roman" w:eastAsia="Times New Roman"/>
          <w:sz w:val="24"/>
        </w:rPr>
        <w:t xml:space="preserve">3. Охрана атмосферного воздуха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Источники выбросов:</w:t>
      </w:r>
      <w:r>
        <w:rPr>
          <w:rFonts w:ascii="Times New Roman" w:hAnsi="Times New Roman" w:eastAsia="Times New Roman"/>
          <w:sz w:val="24"/>
        </w:rPr>
        <w:t xml:space="preserve"> </w:t>
      </w:r>
    </w:p>
    <w:p>
      <w:pPr>
        <w:pStyle w:val="MdListItem"/>
        <w:numPr>
          <w:ilvl w:val="1"/>
          <w:numId w:val="13"/>
        </w:numPr>
      </w:pPr>
      <w:r>
        <w:rPr>
          <w:rFonts w:ascii="Times New Roman" w:hAnsi="Times New Roman" w:eastAsia="Times New Roman"/>
          <w:sz w:val="24"/>
        </w:rPr>
        <w:t xml:space="preserve">Автотранспорт посетителей (передвижной источник).</w:t>
      </w:r>
    </w:p>
    <w:p>
      <w:pPr>
        <w:pStyle w:val="MdListItem"/>
        <w:numPr>
          <w:ilvl w:val="1"/>
          <w:numId w:val="13"/>
        </w:numPr>
      </w:pPr>
      <w:r>
        <w:rPr>
          <w:rFonts w:ascii="Times New Roman" w:hAnsi="Times New Roman" w:eastAsia="Times New Roman"/>
          <w:sz w:val="24"/>
        </w:rPr>
        <w:t xml:space="preserve">Кухонное оборудование кафе (вытяжные системы с фильтрами).</w:t>
      </w:r>
    </w:p>
    <w:p>
      <w:pPr>
        <w:pStyle w:val="MdListItem"/>
        <w:numPr>
          <w:ilvl w:val="1"/>
          <w:numId w:val="13"/>
        </w:numPr>
      </w:pPr>
      <w:r>
        <w:rPr>
          <w:rFonts w:ascii="Times New Roman" w:hAnsi="Times New Roman" w:eastAsia="Times New Roman"/>
          <w:sz w:val="24"/>
        </w:rPr>
        <w:t xml:space="preserve">Резервный дизель-генератор (кратковременная работа).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Меры защиты:</w:t>
      </w:r>
      <w:r>
        <w:rPr>
          <w:rFonts w:ascii="Times New Roman" w:hAnsi="Times New Roman" w:eastAsia="Times New Roman"/>
          <w:sz w:val="24"/>
        </w:rPr>
        <w:t xml:space="preserve"> Использование электроплит в кафе, регулярное обслуживание вентиляционных систем, запрет на сжигание мусора на территории.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Fonts w:ascii="Times New Roman" w:hAnsi="Times New Roman" w:eastAsia="Times New Roman"/>
          <w:sz w:val="24"/>
        </w:rPr>
        <w:t xml:space="preserve">4. Водопотребление и водоотведение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Источник водоснабжения:</w:t>
      </w:r>
      <w:r>
        <w:rPr>
          <w:rFonts w:ascii="Times New Roman" w:hAnsi="Times New Roman" w:eastAsia="Times New Roman"/>
          <w:sz w:val="24"/>
        </w:rPr>
        <w:t xml:space="preserve"> [Скважина / Каптированный родник].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Система очистки стоков:</w:t>
      </w:r>
      <w:r>
        <w:rPr>
          <w:rFonts w:ascii="Times New Roman" w:hAnsi="Times New Roman" w:eastAsia="Times New Roman"/>
          <w:sz w:val="24"/>
        </w:rPr>
        <w:t xml:space="preserve"> Трехкамерное локальное очистное сооружение (ЛОС) объемом 24 м³.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Метод очистки:</w:t>
      </w:r>
      <w:r>
        <w:rPr>
          <w:rFonts w:ascii="Times New Roman" w:hAnsi="Times New Roman" w:eastAsia="Times New Roman"/>
          <w:sz w:val="24"/>
        </w:rPr>
        <w:t xml:space="preserve"> Механическое отстаивание + анаэробная биологическая очистка.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Использование очищенной воды:</w:t>
      </w:r>
      <w:r>
        <w:rPr>
          <w:rFonts w:ascii="Times New Roman" w:hAnsi="Times New Roman" w:eastAsia="Times New Roman"/>
          <w:sz w:val="24"/>
        </w:rPr>
        <w:t xml:space="preserve"> Оборотное водоснабжение для полива зеленых насаждений (Камера №3 ЛОС).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Fonts w:ascii="Times New Roman" w:hAnsi="Times New Roman" w:eastAsia="Times New Roman"/>
          <w:sz w:val="24"/>
        </w:rPr>
        <w:t xml:space="preserve">5. Управление отходами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Вид отхода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Класс опасности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Способ обращения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Пищевые отходы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V (неопасные)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Компостирование или вывоз.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Пластик, стекло, бумага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V (неопасные)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Раздельный сбор и передача на переработку.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Отработанные лампы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I (опасные)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Сбор в спецконтейнер, передача на демеркуризацию.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Осадок из септика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IV (малоопасные)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Откачка ассенизационной машиной (1 раз в год).</w:t>
            </w:r>
          </w:p>
        </w:tc>
      </w:tr>
    </w:tbl>
    <w:p>
      <w:pPr>
        <w:pStyle w:val="Heading3"/>
        <w:pStyle w:val="MdHeading3"/>
      </w:pPr>
      <w:r>
        <w:rPr>
          <w:rFonts w:ascii="Times New Roman" w:hAnsi="Times New Roman" w:eastAsia="Times New Roman"/>
          <w:sz w:val="24"/>
        </w:rPr>
        <w:t xml:space="preserve">6. Охрана земельных ресурсов и растительности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Состояние почв:</w:t>
      </w:r>
      <w:r>
        <w:rPr>
          <w:rFonts w:ascii="Times New Roman" w:hAnsi="Times New Roman" w:eastAsia="Times New Roman"/>
          <w:sz w:val="24"/>
        </w:rPr>
        <w:t xml:space="preserve"> Горно-луговые.</w:t>
      </w:r>
    </w:p>
    <w:p>
      <w:pPr>
        <w:pStyle w:val="MdListItem"/>
        <w:numPr>
          <w:ilvl w:val="0"/>
          <w:numId w:val="13"/>
        </w:numPr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Меры сохранения:</w:t>
      </w:r>
      <w:r>
        <w:rPr>
          <w:rFonts w:ascii="Times New Roman" w:hAnsi="Times New Roman" w:eastAsia="Times New Roman"/>
          <w:sz w:val="24"/>
        </w:rPr>
        <w:t xml:space="preserve"> Запрет на движение транспорта вне дорог, использование экологичных моющих средств, рекультивация нарушенных земель после строительства.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Fonts w:ascii="Times New Roman" w:hAnsi="Times New Roman" w:eastAsia="Times New Roman"/>
          <w:sz w:val="24"/>
        </w:rPr>
        <w:t xml:space="preserve">7. План природоохранных мероприятий (ежегодный)</w:t>
      </w:r>
    </w:p>
    <w:p>
      <w:pPr>
        <w:pStyle w:val="MdListItem"/>
        <w:numPr>
          <w:ilvl w:val="0"/>
          <w:numId w:val="15"/>
        </w:numPr>
      </w:pPr>
      <w:r>
        <w:rPr>
          <w:rFonts w:ascii="Times New Roman" w:hAnsi="Times New Roman" w:eastAsia="Times New Roman"/>
          <w:sz w:val="24"/>
        </w:rPr>
        <w:t xml:space="preserve">Проверка герметичности ЛОС и эффективности очистки — 2 раза в год.</w:t>
      </w:r>
    </w:p>
    <w:p>
      <w:pPr>
        <w:pStyle w:val="MdListItem"/>
        <w:numPr>
          <w:ilvl w:val="0"/>
          <w:numId w:val="15"/>
        </w:numPr>
      </w:pPr>
      <w:r>
        <w:rPr>
          <w:rFonts w:ascii="Times New Roman" w:hAnsi="Times New Roman" w:eastAsia="Times New Roman"/>
          <w:sz w:val="24"/>
        </w:rPr>
        <w:t xml:space="preserve">Вывоз ТБО согласно договору с муниципальной службой — еженедельно (в сезон).</w:t>
      </w:r>
    </w:p>
    <w:p>
      <w:pPr>
        <w:pStyle w:val="MdListItem"/>
        <w:numPr>
          <w:ilvl w:val="0"/>
          <w:numId w:val="15"/>
        </w:numPr>
      </w:pPr>
      <w:r>
        <w:rPr>
          <w:rFonts w:ascii="Times New Roman" w:hAnsi="Times New Roman" w:eastAsia="Times New Roman"/>
          <w:sz w:val="24"/>
        </w:rPr>
        <w:t xml:space="preserve">Озеленение территории саженцами местных пород — апрель-май.</w:t>
      </w:r>
    </w:p>
    <w:p>
      <w:pPr>
        <w:pStyle w:val="MdListItem"/>
        <w:numPr>
          <w:ilvl w:val="0"/>
          <w:numId w:val="15"/>
        </w:numPr>
      </w:pPr>
      <w:r>
        <w:rPr>
          <w:rFonts w:ascii="Times New Roman" w:hAnsi="Times New Roman" w:eastAsia="Times New Roman"/>
          <w:sz w:val="24"/>
        </w:rPr>
        <w:t xml:space="preserve">Инструктаж персонала по экологической безопасности — ежеквартально.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Разработчик:</w:t>
      </w:r>
      <w:r>
        <w:rPr>
          <w:rFonts w:ascii="Times New Roman" w:hAnsi="Times New Roman" w:eastAsia="Times New Roman"/>
          <w:sz w:val="24"/>
        </w:rPr>
        <w:t xml:space="preserve"> [ФИО / Название организации]
</w:t>
      </w: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Дата составления:</w:t>
      </w:r>
      <w:r>
        <w:rPr>
          <w:rFonts w:ascii="Times New Roman" w:hAnsi="Times New Roman" w:eastAsia="Times New Roman"/>
          <w:sz w:val="24"/>
        </w:rPr>
        <w:t xml:space="preserve"> 20 января 2026 г.
</w:t>
      </w:r>
      <w:r>
        <w:rPr>
          <w:rStyle w:val="MdStrong"/>
          <w:rFonts w:ascii="Times New Roman" w:hAnsi="Times New Roman" w:eastAsia="Times New Roman"/>
          <w:b/>
          <w:bCs/>
          <w:sz w:val="24"/>
        </w:rPr>
        <w:t xml:space="preserve">Срок действия:</w:t>
      </w:r>
      <w:r>
        <w:rPr>
          <w:rFonts w:ascii="Times New Roman" w:hAnsi="Times New Roman" w:eastAsia="Times New Roman"/>
          <w:sz w:val="24"/>
        </w:rPr>
        <w:t xml:space="preserve"> 5 лет.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 w15:restartNumberingAfterBreak="0">
    <w:nsid w:val="04C4BE77"/>
    <w:multiLevelType w:val="hybridMultilevel"/>
    <w:tmpl w:val="92764AC0"/>
    <w:lvl w:ilvl="0" w:tplc="1FCC459E">
      <w:start w:val="1"/>
      <w:numFmt w:val="bullet"/>
      <w:lvlText w:val="•"/>
      <w:lvlJc w:val="left"/>
      <w:pPr>
        <w:ind w:left="720" w:hanging="360"/>
      </w:pPr>
    </w:lvl>
    <w:lvl w:ilvl="1" w:tplc="3B441764">
      <w:start w:val="1"/>
      <w:numFmt w:val="bullet"/>
      <w:lvlText w:val="◦"/>
      <w:lvlJc w:val="left"/>
      <w:pPr>
        <w:ind w:left="1440" w:hanging="360"/>
      </w:pPr>
    </w:lvl>
    <w:lvl w:ilvl="2" w:tplc="B94C1CFC">
      <w:start w:val="1"/>
      <w:numFmt w:val="bullet"/>
      <w:lvlText w:val="•"/>
      <w:lvlJc w:val="left"/>
      <w:pPr>
        <w:ind w:left="2160" w:hanging="360"/>
      </w:pPr>
    </w:lvl>
    <w:lvl w:ilvl="3" w:tplc="569E5288">
      <w:start w:val="1"/>
      <w:numFmt w:val="bullet"/>
      <w:lvlText w:val="◦"/>
      <w:lvlJc w:val="left"/>
      <w:pPr>
        <w:ind w:left="2880" w:hanging="360"/>
      </w:pPr>
    </w:lvl>
    <w:lvl w:ilvl="4" w:tplc="AC025C0E">
      <w:start w:val="1"/>
      <w:numFmt w:val="bullet"/>
      <w:lvlText w:val="•"/>
      <w:lvlJc w:val="left"/>
      <w:pPr>
        <w:ind w:left="3600" w:hanging="360"/>
      </w:pPr>
    </w:lvl>
    <w:lvl w:ilvl="5" w:tplc="15468718">
      <w:start w:val="1"/>
      <w:numFmt w:val="bullet"/>
      <w:lvlText w:val="◦"/>
      <w:lvlJc w:val="left"/>
      <w:pPr>
        <w:ind w:left="4320" w:hanging="360"/>
      </w:pPr>
    </w:lvl>
    <w:lvl w:ilvl="6" w:tplc="4EB00FE0">
      <w:start w:val="1"/>
      <w:numFmt w:val="bullet"/>
      <w:lvlText w:val="•"/>
      <w:lvlJc w:val="left"/>
      <w:pPr>
        <w:ind w:left="5040" w:hanging="360"/>
      </w:pPr>
    </w:lvl>
    <w:lvl w:ilvl="7" w:tplc="7EF6175C">
      <w:numFmt w:val="decimal"/>
      <w:lvlText w:val=""/>
      <w:lvlJc w:val="left"/>
    </w:lvl>
    <w:lvl w:ilvl="8" w:tplc="65B2C5C0">
      <w:numFmt w:val="decimal"/>
      <w:lvlText w:val=""/>
      <w:lvlJc w:val="left"/>
    </w:lvl>
  </w:abstractNum>
  <w:abstractNum xmlns:w15="http://schemas.microsoft.com/office/word/2012/wordml" w:abstractNumId="10" w15:restartNumberingAfterBreak="0">
    <w:nsid w:val="01ED9462"/>
    <w:multiLevelType w:val="multilevel"/>
    <w:tmpl w:val="CA0A72D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xmlns:w15="http://schemas.microsoft.com/office/word/2012/wordml"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abstractNum xmlns:w15="http://schemas.microsoft.com/office/word/2012/wordml" w:abstractNumId="1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2"/>
    <w:lvlOverride w:ilvl="0">
      <w:startOverride w:val="1"/>
    </w:lvlOverride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Table">
    <w:name w:val="MdTable"/>
    <w:basedOn w:val="Normal"/>
    <w:next w:val="Normal"/>
    <w:qFormat/>
    <w:pPr>
      <w:spacing w:before="60" w:after="6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