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ПРОЕКТ: ЭКОЛОГИЧЕСКИЙ ПАСПОРТ ПРЕДПРИЯТИЯ</w:t>
      </w:r>
    </w:p>
    <w:p>
      <w:pPr>
        <w:pStyle w:val="Heading2"/>
        <w:pStyle w:val="MdHeading2"/>
      </w:pPr>
      <w:r>
        <w:t xml:space="preserve">Туристическо-рекреационный центр «Кок-Жайык»</w:t>
      </w:r>
    </w:p>
    <w:p>
      <w:pPr>
        <w:pStyle w:val="MdParagraph"/>
      </w:pPr>
      <w:r>
        <w:rPr>
          <w:rStyle w:val="MdStrong"/>
          <w:b/>
          <w:bCs/>
        </w:rPr>
        <w:t xml:space="preserve">Местонахождение:</w:t>
      </w:r>
      <w:r>
        <w:t xml:space="preserve"> Иссык-Кульская область, Тюпский район, трасса Тюп-Кеген, 53-й км.
</w:t>
      </w:r>
      <w:r>
        <w:rPr>
          <w:rStyle w:val="MdStrong"/>
          <w:b/>
          <w:bCs/>
        </w:rPr>
        <w:t xml:space="preserve">Координаты:</w:t>
      </w:r>
      <w:r>
        <w:t xml:space="preserve"> 42.736564, 78.935704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Общие сведения о предприятии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Наименование:</w:t>
      </w:r>
      <w:r>
        <w:t xml:space="preserve"> ТРЦ «Кок-Жайык» (Проект «Каркыра-Транзит»).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Вид деятельности:</w:t>
      </w:r>
      <w:r>
        <w:t xml:space="preserve"> Оказание туристических услуг, придорожный сервис (кафе, магазин), краткосрочное проживание.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Проектная мощность: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t xml:space="preserve">Размещение: до 30 человек одновременно (дома A-frame + юрты).</w:t>
      </w:r>
    </w:p>
    <w:p>
      <w:pPr>
        <w:pStyle w:val="MdListItem"/>
        <w:numPr>
          <w:ilvl w:val="1"/>
          <w:numId w:val="2"/>
        </w:numPr>
      </w:pPr>
      <w:r>
        <w:t xml:space="preserve">Общепит: 20-30 посадочных мест.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Общая площадь участка:</w:t>
      </w:r>
      <w:r>
        <w:t xml:space="preserve"> [Указать согласно акту на землю] га.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Эколого-экономические показатели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Показатель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Значение (прогноз)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Потребление воды (хоз-бытовое)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4.5 - 6.0 м³/сутки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Объем сточных вод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4.0 - 5.5 м³/сутки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Образование ТБО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0.5 - 0.8 тонн/год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Площадь озеленения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[Указать]% от общей площади</w:t>
            </w:r>
          </w:p>
        </w:tc>
      </w:tr>
    </w:tbl>
    <w:p>
      <w:pPr>
        <w:pStyle w:val="Heading3"/>
        <w:pStyle w:val="MdHeading3"/>
      </w:pPr>
      <w:r>
        <w:t xml:space="preserve">3. Охрана атмосферного воздуха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Источники выбросов:</w:t>
      </w:r>
      <w:r>
        <w:t xml:space="preserve"> </w:t>
      </w:r>
    </w:p>
    <w:p>
      <w:pPr>
        <w:pStyle w:val="MdListItem"/>
        <w:numPr>
          <w:ilvl w:val="1"/>
          <w:numId w:val="2"/>
        </w:numPr>
      </w:pPr>
      <w:r>
        <w:t xml:space="preserve">Автотранспорт посетителей (передвижной источник).</w:t>
      </w:r>
    </w:p>
    <w:p>
      <w:pPr>
        <w:pStyle w:val="MdListItem"/>
        <w:numPr>
          <w:ilvl w:val="1"/>
          <w:numId w:val="2"/>
        </w:numPr>
      </w:pPr>
      <w:r>
        <w:t xml:space="preserve">Кухонное оборудование кафе (вытяжные системы с фильтрами).</w:t>
      </w:r>
    </w:p>
    <w:p>
      <w:pPr>
        <w:pStyle w:val="MdListItem"/>
        <w:numPr>
          <w:ilvl w:val="1"/>
          <w:numId w:val="2"/>
        </w:numPr>
      </w:pPr>
      <w:r>
        <w:t xml:space="preserve">Резервный дизель-генератор (кратковременная работа).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Меры защиты:</w:t>
      </w:r>
      <w:r>
        <w:t xml:space="preserve"> Использование электроплит в кафе, регулярное обслуживание вентиляционных систем, запрет на сжигание мусора на территории.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Водопотребление и водоотведение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Источник водоснабжения:</w:t>
      </w:r>
      <w:r>
        <w:t xml:space="preserve"> [Скважина / Каптированный родник].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Система очистки стоков:</w:t>
      </w:r>
      <w:r>
        <w:t xml:space="preserve"> Трехкамерное локальное очистное сооружение (ЛОС) объемом 24 м³.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Метод очистки:</w:t>
      </w:r>
      <w:r>
        <w:t xml:space="preserve"> Механическое отстаивание + анаэробная биологическая очистка.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Использование очищенной воды:</w:t>
      </w:r>
      <w:r>
        <w:t xml:space="preserve"> Оборотное водоснабжение для полива зеленых насаждений (Камера №3 ЛОС).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Управление отходами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Вид отхода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Класс опасности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Способ обращения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Пищевые отходы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 (неопасные)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Компостирование или вывоз.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Пластик, стекло, бумага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 (неопасные)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Раздельный сбор и передача на переработку.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Отработанные лампы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 (опасные)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Сбор в спецконтейнер, передача на демеркуризацию.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Осадок из септика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IV (малоопасные)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Откачка ассенизационной машиной (1 раз в год).</w:t>
            </w:r>
          </w:p>
        </w:tc>
      </w:tr>
    </w:tbl>
    <w:p>
      <w:pPr>
        <w:pStyle w:val="Heading3"/>
        <w:pStyle w:val="MdHeading3"/>
      </w:pPr>
      <w:r>
        <w:t xml:space="preserve">6. Охрана земельных ресурсов и растительности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Состояние почв:</w:t>
      </w:r>
      <w:r>
        <w:t xml:space="preserve"> Горно-луговые.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Меры сохранения:</w:t>
      </w:r>
      <w:r>
        <w:t xml:space="preserve"> Запрет на движение транспорта вне дорог, использование экологичных моющих средств, рекультивация нарушенных земель после строительства.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План природоохранных мероприятий (ежегодный)</w:t>
      </w:r>
    </w:p>
    <w:p>
      <w:pPr>
        <w:pStyle w:val="MdListItem"/>
        <w:numPr>
          <w:ilvl w:val="0"/>
          <w:numId w:val="3"/>
        </w:numPr>
      </w:pPr>
      <w:r>
        <w:t xml:space="preserve">Проверка герметичности ЛОС и эффективности очистки — 2 раза в год.</w:t>
      </w:r>
    </w:p>
    <w:p>
      <w:pPr>
        <w:pStyle w:val="MdListItem"/>
        <w:numPr>
          <w:ilvl w:val="0"/>
          <w:numId w:val="3"/>
        </w:numPr>
      </w:pPr>
      <w:r>
        <w:t xml:space="preserve">Вывоз ТБО согласно договору с муниципальной службой — еженедельно (в сезон).</w:t>
      </w:r>
    </w:p>
    <w:p>
      <w:pPr>
        <w:pStyle w:val="MdListItem"/>
        <w:numPr>
          <w:ilvl w:val="0"/>
          <w:numId w:val="3"/>
        </w:numPr>
      </w:pPr>
      <w:r>
        <w:t xml:space="preserve">Озеленение территории саженцами местных пород — апрель-май.</w:t>
      </w:r>
    </w:p>
    <w:p>
      <w:pPr>
        <w:pStyle w:val="MdListItem"/>
        <w:numPr>
          <w:ilvl w:val="0"/>
          <w:numId w:val="3"/>
        </w:numPr>
      </w:pPr>
      <w:r>
        <w:t xml:space="preserve">Инструктаж персонала по экологической безопасности — ежеквартально.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Разработчик:</w:t>
      </w:r>
      <w:r>
        <w:t xml:space="preserve"> [ФИО / Название организации]
</w:t>
      </w:r>
      <w:r>
        <w:rPr>
          <w:rStyle w:val="MdStrong"/>
          <w:b/>
          <w:bCs/>
        </w:rPr>
        <w:t xml:space="preserve">Дата составления:</w:t>
      </w:r>
      <w:r>
        <w:t xml:space="preserve"> 20 января 2026 г.
</w:t>
      </w:r>
      <w:r>
        <w:rPr>
          <w:rStyle w:val="MdStrong"/>
          <w:b/>
          <w:bCs/>
        </w:rPr>
        <w:t xml:space="preserve">Срок действия:</w:t>
      </w:r>
      <w:r>
        <w:t xml:space="preserve"> 5 лет.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2026-01-20T06:12:12.764Z</dcterms:created>
  <dcterms:modified xsi:type="dcterms:W3CDTF">2026-01-20T06:12:12.764Z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