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A019" w14:textId="77777777" w:rsidR="00B71774" w:rsidRDefault="00B71774" w:rsidP="004E5D8C">
      <w:pPr>
        <w:ind w:left="-709" w:right="96"/>
      </w:pPr>
    </w:p>
    <w:p w14:paraId="07F4311A" w14:textId="77777777" w:rsidR="004E5D8C" w:rsidRDefault="004E5D8C"/>
    <w:p w14:paraId="12CDDFE2" w14:textId="77777777" w:rsidR="00D33E3B" w:rsidRDefault="00D33E3B"/>
    <w:tbl>
      <w:tblPr>
        <w:tblpPr w:leftFromText="180" w:rightFromText="180" w:vertAnchor="text" w:tblpX="709" w:tblpY="631"/>
        <w:tblW w:w="10490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50"/>
        <w:gridCol w:w="2126"/>
        <w:gridCol w:w="1276"/>
        <w:gridCol w:w="992"/>
        <w:gridCol w:w="1276"/>
        <w:gridCol w:w="2126"/>
        <w:gridCol w:w="851"/>
      </w:tblGrid>
      <w:tr w:rsidR="00D13C22" w:rsidRPr="00A433F2" w14:paraId="1CACE000" w14:textId="77777777" w:rsidTr="007B365F">
        <w:trPr>
          <w:trHeight w:val="318"/>
        </w:trPr>
        <w:tc>
          <w:tcPr>
            <w:tcW w:w="993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C87E8DB" w14:textId="06DEC13B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Data </w:t>
            </w:r>
            <w:r w:rsidR="00D13C2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ource</w:t>
            </w:r>
          </w:p>
        </w:tc>
        <w:tc>
          <w:tcPr>
            <w:tcW w:w="850" w:type="dxa"/>
            <w:tcBorders>
              <w:top w:val="nil"/>
              <w:bottom w:val="single" w:sz="18" w:space="0" w:color="auto"/>
            </w:tcBorders>
          </w:tcPr>
          <w:p w14:paraId="14FCE491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Type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44D93B55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Form of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d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ata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ollection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5CC60F9B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t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emporal 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resolution</w:t>
            </w:r>
          </w:p>
        </w:tc>
        <w:tc>
          <w:tcPr>
            <w:tcW w:w="992" w:type="dxa"/>
            <w:tcBorders>
              <w:top w:val="nil"/>
              <w:bottom w:val="single" w:sz="18" w:space="0" w:color="auto"/>
            </w:tcBorders>
          </w:tcPr>
          <w:p w14:paraId="3551A472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Temporal coverage</w:t>
            </w:r>
          </w:p>
        </w:tc>
        <w:tc>
          <w:tcPr>
            <w:tcW w:w="127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181E7BEA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Finest s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patial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r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esolution</w:t>
            </w:r>
          </w:p>
        </w:tc>
        <w:tc>
          <w:tcPr>
            <w:tcW w:w="2126" w:type="dxa"/>
            <w:tcBorders>
              <w:top w:val="nil"/>
              <w:bottom w:val="single" w:sz="18" w:space="0" w:color="auto"/>
            </w:tcBorders>
            <w:noWrap/>
            <w:hideMark/>
          </w:tcPr>
          <w:p w14:paraId="648472F5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Access </w:t>
            </w: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</w:t>
            </w:r>
            <w:r w:rsidRPr="004E5D8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ethod</w:t>
            </w:r>
          </w:p>
        </w:tc>
        <w:tc>
          <w:tcPr>
            <w:tcW w:w="851" w:type="dxa"/>
            <w:tcBorders>
              <w:top w:val="nil"/>
              <w:bottom w:val="single" w:sz="18" w:space="0" w:color="auto"/>
            </w:tcBorders>
          </w:tcPr>
          <w:p w14:paraId="483B0EA0" w14:textId="77777777" w:rsidR="00E04DBC" w:rsidRPr="00A433F2" w:rsidRDefault="00E04DBC" w:rsidP="007B365F">
            <w:pPr>
              <w:spacing w:before="20" w:after="40"/>
              <w:ind w:right="-87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Free at time of access</w:t>
            </w:r>
          </w:p>
        </w:tc>
      </w:tr>
      <w:tr w:rsidR="00D13C22" w:rsidRPr="00A433F2" w14:paraId="3E22FF0D" w14:textId="77777777" w:rsidTr="007B365F">
        <w:trPr>
          <w:trHeight w:val="318"/>
        </w:trPr>
        <w:tc>
          <w:tcPr>
            <w:tcW w:w="993" w:type="dxa"/>
            <w:tcBorders>
              <w:top w:val="single" w:sz="18" w:space="0" w:color="auto"/>
            </w:tcBorders>
            <w:noWrap/>
            <w:hideMark/>
          </w:tcPr>
          <w:p w14:paraId="2F1A2B9B" w14:textId="1431E42D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Facebook </w:t>
            </w:r>
          </w:p>
        </w:tc>
        <w:tc>
          <w:tcPr>
            <w:tcW w:w="850" w:type="dxa"/>
            <w:tcBorders>
              <w:top w:val="single" w:sz="18" w:space="0" w:color="auto"/>
            </w:tcBorders>
          </w:tcPr>
          <w:p w14:paraId="1A07975A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noWrap/>
            <w:hideMark/>
          </w:tcPr>
          <w:p w14:paraId="30461A75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from app users with location services enabled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noWrap/>
            <w:hideMark/>
          </w:tcPr>
          <w:p w14:paraId="0C71CE47" w14:textId="3A3E8639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8-hour window</w:t>
            </w:r>
          </w:p>
        </w:tc>
        <w:tc>
          <w:tcPr>
            <w:tcW w:w="992" w:type="dxa"/>
            <w:tcBorders>
              <w:top w:val="single" w:sz="18" w:space="0" w:color="auto"/>
            </w:tcBorders>
          </w:tcPr>
          <w:p w14:paraId="0503301F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noWrap/>
            <w:hideMark/>
          </w:tcPr>
          <w:p w14:paraId="6659BCD2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Bing Tiles level 13</w:t>
            </w:r>
          </w:p>
        </w:tc>
        <w:tc>
          <w:tcPr>
            <w:tcW w:w="2126" w:type="dxa"/>
            <w:tcBorders>
              <w:top w:val="single" w:sz="18" w:space="0" w:color="auto"/>
            </w:tcBorders>
            <w:noWrap/>
            <w:hideMark/>
          </w:tcPr>
          <w:p w14:paraId="1BADC0E6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Restricted access via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Meta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Data for Good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73CDEDA6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D13C22" w:rsidRPr="00A433F2" w14:paraId="014330DD" w14:textId="77777777" w:rsidTr="007B365F">
        <w:trPr>
          <w:trHeight w:val="318"/>
        </w:trPr>
        <w:tc>
          <w:tcPr>
            <w:tcW w:w="993" w:type="dxa"/>
            <w:noWrap/>
            <w:hideMark/>
          </w:tcPr>
          <w:p w14:paraId="5F9F7867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Twitter (X)</w:t>
            </w:r>
          </w:p>
        </w:tc>
        <w:tc>
          <w:tcPr>
            <w:tcW w:w="850" w:type="dxa"/>
          </w:tcPr>
          <w:p w14:paraId="03DAE9BA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Single app</w:t>
            </w:r>
          </w:p>
        </w:tc>
        <w:tc>
          <w:tcPr>
            <w:tcW w:w="2126" w:type="dxa"/>
            <w:noWrap/>
            <w:hideMark/>
          </w:tcPr>
          <w:p w14:paraId="0045440A" w14:textId="6BAE1BC0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Geotag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and IP-based location via Academic API</w:t>
            </w:r>
          </w:p>
        </w:tc>
        <w:tc>
          <w:tcPr>
            <w:tcW w:w="1276" w:type="dxa"/>
            <w:noWrap/>
            <w:hideMark/>
          </w:tcPr>
          <w:p w14:paraId="7C4FE156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Month</w:t>
            </w:r>
          </w:p>
        </w:tc>
        <w:tc>
          <w:tcPr>
            <w:tcW w:w="992" w:type="dxa"/>
          </w:tcPr>
          <w:p w14:paraId="1F8498CE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March 2021</w:t>
            </w:r>
          </w:p>
        </w:tc>
        <w:tc>
          <w:tcPr>
            <w:tcW w:w="1276" w:type="dxa"/>
            <w:noWrap/>
            <w:hideMark/>
          </w:tcPr>
          <w:p w14:paraId="3CE6E297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Local Authority District </w:t>
            </w:r>
          </w:p>
        </w:tc>
        <w:tc>
          <w:tcPr>
            <w:tcW w:w="2126" w:type="dxa"/>
            <w:noWrap/>
            <w:hideMark/>
          </w:tcPr>
          <w:p w14:paraId="008F86D6" w14:textId="08795B99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Open access via GitHub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</w:t>
            </w:r>
            <w:r w:rsidR="007B365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51" w:type="dxa"/>
          </w:tcPr>
          <w:p w14:paraId="1D347A43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  <w:tr w:rsidR="00D13C22" w:rsidRPr="00A433F2" w14:paraId="5F44650F" w14:textId="77777777" w:rsidTr="007B365F">
        <w:trPr>
          <w:trHeight w:val="318"/>
        </w:trPr>
        <w:tc>
          <w:tcPr>
            <w:tcW w:w="993" w:type="dxa"/>
            <w:noWrap/>
            <w:hideMark/>
          </w:tcPr>
          <w:p w14:paraId="09B64912" w14:textId="4D2B6DFA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Multi-app1</w:t>
            </w:r>
          </w:p>
        </w:tc>
        <w:tc>
          <w:tcPr>
            <w:tcW w:w="850" w:type="dxa"/>
          </w:tcPr>
          <w:p w14:paraId="311DEAE8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2126" w:type="dxa"/>
            <w:noWrap/>
            <w:hideMark/>
          </w:tcPr>
          <w:p w14:paraId="63C985D2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GPS data from multiple apps</w:t>
            </w:r>
          </w:p>
        </w:tc>
        <w:tc>
          <w:tcPr>
            <w:tcW w:w="1276" w:type="dxa"/>
            <w:noWrap/>
            <w:hideMark/>
          </w:tcPr>
          <w:p w14:paraId="451FA454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Second</w:t>
            </w:r>
          </w:p>
        </w:tc>
        <w:tc>
          <w:tcPr>
            <w:tcW w:w="992" w:type="dxa"/>
          </w:tcPr>
          <w:p w14:paraId="69EFF897" w14:textId="669E2F22" w:rsidR="00E04DBC" w:rsidRPr="00A433F2" w:rsidRDefault="00D13C22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1</w:t>
            </w:r>
            <w:r w:rsidR="00E04DBC"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st week, April 2021</w:t>
            </w:r>
          </w:p>
        </w:tc>
        <w:tc>
          <w:tcPr>
            <w:tcW w:w="1276" w:type="dxa"/>
            <w:noWrap/>
            <w:hideMark/>
          </w:tcPr>
          <w:p w14:paraId="36209D09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coordinates</w:t>
            </w:r>
          </w:p>
        </w:tc>
        <w:tc>
          <w:tcPr>
            <w:tcW w:w="2126" w:type="dxa"/>
            <w:noWrap/>
            <w:hideMark/>
          </w:tcPr>
          <w:p w14:paraId="1C35367E" w14:textId="77777777" w:rsidR="00E04DBC" w:rsidRPr="004E5D8C" w:rsidRDefault="00E04DBC" w:rsidP="007B365F">
            <w:pP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Proprietary, from analytics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company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(not public)</w:t>
            </w:r>
          </w:p>
        </w:tc>
        <w:tc>
          <w:tcPr>
            <w:tcW w:w="851" w:type="dxa"/>
          </w:tcPr>
          <w:p w14:paraId="4078398B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</w:t>
            </w:r>
          </w:p>
        </w:tc>
      </w:tr>
      <w:tr w:rsidR="00D13C22" w:rsidRPr="00A433F2" w14:paraId="716F449A" w14:textId="77777777" w:rsidTr="007B365F">
        <w:trPr>
          <w:trHeight w:val="318"/>
        </w:trPr>
        <w:tc>
          <w:tcPr>
            <w:tcW w:w="993" w:type="dxa"/>
            <w:noWrap/>
            <w:hideMark/>
          </w:tcPr>
          <w:p w14:paraId="5DE5C8F0" w14:textId="1B43831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Multi-app2</w:t>
            </w:r>
          </w:p>
        </w:tc>
        <w:tc>
          <w:tcPr>
            <w:tcW w:w="850" w:type="dxa"/>
          </w:tcPr>
          <w:p w14:paraId="535A8CE2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 app</w:t>
            </w:r>
          </w:p>
        </w:tc>
        <w:tc>
          <w:tcPr>
            <w:tcW w:w="2126" w:type="dxa"/>
            <w:noWrap/>
            <w:hideMark/>
          </w:tcPr>
          <w:p w14:paraId="53DB90F1" w14:textId="7B1DC98A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GPS data from </w:t>
            </w: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multiple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apps</w:t>
            </w:r>
          </w:p>
        </w:tc>
        <w:tc>
          <w:tcPr>
            <w:tcW w:w="1276" w:type="dxa"/>
            <w:noWrap/>
            <w:hideMark/>
          </w:tcPr>
          <w:p w14:paraId="29545B66" w14:textId="1E5AD6B4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Averag</w:t>
            </w:r>
            <w:r w:rsidR="00D13C2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e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over a month</w:t>
            </w:r>
          </w:p>
        </w:tc>
        <w:tc>
          <w:tcPr>
            <w:tcW w:w="992" w:type="dxa"/>
          </w:tcPr>
          <w:p w14:paraId="24431679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November 2021</w:t>
            </w:r>
          </w:p>
        </w:tc>
        <w:tc>
          <w:tcPr>
            <w:tcW w:w="1276" w:type="dxa"/>
            <w:noWrap/>
            <w:hideMark/>
          </w:tcPr>
          <w:p w14:paraId="3CC1DF32" w14:textId="77777777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MSOA</w:t>
            </w:r>
          </w:p>
        </w:tc>
        <w:tc>
          <w:tcPr>
            <w:tcW w:w="2126" w:type="dxa"/>
            <w:noWrap/>
            <w:hideMark/>
          </w:tcPr>
          <w:p w14:paraId="749C66B0" w14:textId="144C4769" w:rsidR="00E04DBC" w:rsidRPr="004E5D8C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Open access via </w:t>
            </w:r>
            <w:proofErr w:type="spellStart"/>
            <w:r w:rsidR="00EF531E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Zenodo</w:t>
            </w:r>
            <w:proofErr w:type="spellEnd"/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(pre-processed</w:t>
            </w:r>
            <w:r w:rsidR="007B365F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*</w:t>
            </w:r>
            <w:r w:rsidRPr="004E5D8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851" w:type="dxa"/>
          </w:tcPr>
          <w:p w14:paraId="2F1C72DD" w14:textId="77777777" w:rsidR="00E04DBC" w:rsidRPr="00A433F2" w:rsidRDefault="00E04DBC" w:rsidP="007B365F">
            <w:pPr>
              <w:spacing w:before="20" w:after="4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</w:pPr>
            <w:r w:rsidRPr="00A433F2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n-GB"/>
                <w14:ligatures w14:val="none"/>
              </w:rPr>
              <w:t>Yes</w:t>
            </w:r>
          </w:p>
        </w:tc>
      </w:tr>
    </w:tbl>
    <w:p w14:paraId="06EC02AA" w14:textId="77777777" w:rsidR="00D33E3B" w:rsidRDefault="00D33E3B"/>
    <w:p w14:paraId="65EADAC8" w14:textId="6AF00417" w:rsidR="007B365F" w:rsidRDefault="007B365F"/>
    <w:p w14:paraId="2D9916F3" w14:textId="77777777" w:rsidR="007B365F" w:rsidRDefault="007B365F"/>
    <w:p w14:paraId="07A7B446" w14:textId="77777777" w:rsidR="007B365F" w:rsidRDefault="007B365F"/>
    <w:p w14:paraId="028E76FC" w14:textId="77777777" w:rsidR="007B365F" w:rsidRDefault="007B365F"/>
    <w:p w14:paraId="303F98CC" w14:textId="77777777" w:rsidR="007B365F" w:rsidRDefault="007B365F"/>
    <w:p w14:paraId="29B1AAEF" w14:textId="77777777" w:rsidR="007B365F" w:rsidRDefault="007B365F"/>
    <w:p w14:paraId="6E33B3EA" w14:textId="77777777" w:rsidR="007B365F" w:rsidRDefault="007B365F"/>
    <w:p w14:paraId="5C79653E" w14:textId="77777777" w:rsidR="007B365F" w:rsidRDefault="007B365F"/>
    <w:p w14:paraId="53A0E876" w14:textId="77777777" w:rsidR="007B365F" w:rsidRDefault="007B365F"/>
    <w:p w14:paraId="0C55072D" w14:textId="77777777" w:rsidR="007B365F" w:rsidRDefault="007B365F"/>
    <w:p w14:paraId="02FB504D" w14:textId="7786C81E" w:rsidR="007B365F" w:rsidRPr="007B365F" w:rsidRDefault="007B365F" w:rsidP="00EF531E">
      <w:pPr>
        <w:ind w:left="993" w:right="426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*</w:t>
      </w:r>
      <w:r w:rsidR="005A4F12" w:rsidRPr="005A4F12">
        <w:t xml:space="preserve"> </w:t>
      </w:r>
      <w:r w:rsidR="005A4F12" w:rsidRPr="005A4F12">
        <w:rPr>
          <w:rFonts w:ascii="Arial" w:hAnsi="Arial" w:cs="Arial"/>
          <w:sz w:val="16"/>
          <w:szCs w:val="16"/>
        </w:rPr>
        <w:t>The original raw data w</w:t>
      </w:r>
      <w:r w:rsidR="005A4F12">
        <w:rPr>
          <w:rFonts w:ascii="Arial" w:hAnsi="Arial" w:cs="Arial"/>
          <w:sz w:val="16"/>
          <w:szCs w:val="16"/>
        </w:rPr>
        <w:t>as</w:t>
      </w:r>
      <w:r w:rsidR="005A4F12" w:rsidRPr="005A4F12">
        <w:rPr>
          <w:rFonts w:ascii="Arial" w:hAnsi="Arial" w:cs="Arial"/>
          <w:sz w:val="16"/>
          <w:szCs w:val="16"/>
        </w:rPr>
        <w:t xml:space="preserve"> processed by other authors before use in this study. Specifically, </w:t>
      </w:r>
      <w:r w:rsidR="005A4F12">
        <w:rPr>
          <w:rFonts w:ascii="Arial" w:hAnsi="Arial" w:cs="Arial"/>
          <w:sz w:val="16"/>
          <w:szCs w:val="16"/>
        </w:rPr>
        <w:t>data</w:t>
      </w:r>
      <w:r w:rsidR="005A4F12" w:rsidRPr="005A4F12">
        <w:rPr>
          <w:rFonts w:ascii="Arial" w:hAnsi="Arial" w:cs="Arial"/>
          <w:sz w:val="16"/>
          <w:szCs w:val="16"/>
        </w:rPr>
        <w:t xml:space="preserve"> </w:t>
      </w:r>
      <w:r w:rsidR="005A4F12">
        <w:rPr>
          <w:rFonts w:ascii="Arial" w:hAnsi="Arial" w:cs="Arial"/>
          <w:sz w:val="16"/>
          <w:szCs w:val="16"/>
        </w:rPr>
        <w:t>was</w:t>
      </w:r>
      <w:r w:rsidR="005A4F12" w:rsidRPr="005A4F12">
        <w:rPr>
          <w:rFonts w:ascii="Arial" w:hAnsi="Arial" w:cs="Arial"/>
          <w:sz w:val="16"/>
          <w:szCs w:val="16"/>
        </w:rPr>
        <w:t xml:space="preserve"> cleaned, aggregated across space and time, and then made openly available. Further details are provided in the Data section.</w:t>
      </w:r>
    </w:p>
    <w:sectPr w:rsidR="007B365F" w:rsidRPr="007B365F" w:rsidSect="007B365F">
      <w:pgSz w:w="11906" w:h="16838"/>
      <w:pgMar w:top="1440" w:right="707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8C"/>
    <w:rsid w:val="000B2EDB"/>
    <w:rsid w:val="000D07EE"/>
    <w:rsid w:val="000D4D36"/>
    <w:rsid w:val="00183B62"/>
    <w:rsid w:val="002147F9"/>
    <w:rsid w:val="002D258D"/>
    <w:rsid w:val="00352BAE"/>
    <w:rsid w:val="004E5D8C"/>
    <w:rsid w:val="005704A3"/>
    <w:rsid w:val="005A4F12"/>
    <w:rsid w:val="005E0E48"/>
    <w:rsid w:val="005F1297"/>
    <w:rsid w:val="007B365F"/>
    <w:rsid w:val="00870246"/>
    <w:rsid w:val="00A433F2"/>
    <w:rsid w:val="00A8558C"/>
    <w:rsid w:val="00B71774"/>
    <w:rsid w:val="00D13C22"/>
    <w:rsid w:val="00D33E3B"/>
    <w:rsid w:val="00E04DBC"/>
    <w:rsid w:val="00E75A71"/>
    <w:rsid w:val="00E92E7D"/>
    <w:rsid w:val="00EB3261"/>
    <w:rsid w:val="00EF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658F"/>
  <w15:chartTrackingRefBased/>
  <w15:docId w15:val="{B67E819C-1977-F94F-8DEA-6CBD92DB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5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D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D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D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D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5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5D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D8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5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5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5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5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5D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5D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2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Carmen</dc:creator>
  <cp:keywords/>
  <dc:description/>
  <cp:lastModifiedBy>Cabrera, Carmen</cp:lastModifiedBy>
  <cp:revision>8</cp:revision>
  <cp:lastPrinted>2025-09-05T10:41:00Z</cp:lastPrinted>
  <dcterms:created xsi:type="dcterms:W3CDTF">2025-08-01T14:37:00Z</dcterms:created>
  <dcterms:modified xsi:type="dcterms:W3CDTF">2025-09-05T10:53:00Z</dcterms:modified>
</cp:coreProperties>
</file>