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kwtdz2bi502" w:id="0"/>
      <w:bookmarkEnd w:id="0"/>
      <w:r w:rsidDel="00000000" w:rsidR="00000000" w:rsidRPr="00000000">
        <w:rPr>
          <w:rtl w:val="0"/>
        </w:rPr>
        <w:t xml:space="preserve">LenderOpportunityDetails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sdk.opportunites.lender[“”].details()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55"/>
        <w:gridCol w:w="2205"/>
        <w:tblGridChange w:id="0">
          <w:tblGrid>
            <w:gridCol w:w="7155"/>
            <w:gridCol w:w="22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PoolDetailsInfo: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 apy ] [ tvl ]  [ lender_qty ] [ age ]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[Deposit]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[Withdraw]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[Overview tab] 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Info: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Token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Supplied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Borrowed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Utilization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TVL</w:t>
      </w:r>
    </w:p>
    <w:p w:rsidR="00000000" w:rsidDel="00000000" w:rsidP="00000000" w:rsidRDefault="00000000" w:rsidRPr="00000000" w14:paraId="00000016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Exposure (collaterals): 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ind w:left="720" w:hanging="360"/>
        <w:rPr>
          <w:u w:val="none"/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Single list of tokens / token icons + % of the liquidity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ind w:left="720" w:hanging="360"/>
        <w:rPr>
          <w:u w:val="none"/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[View more in advanced]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Yield: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hd w:fill="fce5cd" w:val="clear"/>
          <w:rtl w:val="0"/>
        </w:rPr>
        <w:t xml:space="preserve">supplyAPR</w:t>
      </w:r>
      <w:r w:rsidDel="00000000" w:rsidR="00000000" w:rsidRPr="00000000">
        <w:rPr>
          <w:rtl w:val="0"/>
        </w:rPr>
        <w:t xml:space="preserve"> + 30d AVG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rewardAPR + 30d AVG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shd w:fill="f4cccc" w:val="clear"/>
        </w:rPr>
      </w:pPr>
      <w:r w:rsidDel="00000000" w:rsidR="00000000" w:rsidRPr="00000000">
        <w:rPr>
          <w:shd w:fill="f4cccc" w:val="clear"/>
          <w:rtl w:val="0"/>
        </w:rPr>
        <w:t xml:space="preserve">Points multiplier</w:t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br w:type="textWrapping"/>
        <w:t xml:space="preserve">History: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Supply APR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TVL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[Advanced tab] </w:t>
      </w:r>
    </w:p>
    <w:p w:rsidR="00000000" w:rsidDel="00000000" w:rsidP="00000000" w:rsidRDefault="00000000" w:rsidRPr="00000000" w14:paraId="0000002C">
      <w:pPr>
        <w:ind w:left="0" w:firstLine="0"/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Exposure (collaterals): table with all collaterals (hide 0-quota by default)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u w:val="none"/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Token name / icon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u w:val="none"/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APY (instead of current Effective rate - supply yield)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u w:val="none"/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Limits Usage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u w:val="none"/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Oracle price + type -&gt; onclick: advanced oracle details like in StrategyOpportunityDetails</w:t>
      </w:r>
    </w:p>
    <w:p w:rsidR="00000000" w:rsidDel="00000000" w:rsidP="00000000" w:rsidRDefault="00000000" w:rsidRPr="00000000" w14:paraId="00000032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Charts: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IRM</w:t>
      </w:r>
    </w:p>
    <w:p w:rsidR="00000000" w:rsidDel="00000000" w:rsidP="00000000" w:rsidRDefault="00000000" w:rsidRPr="00000000" w14:paraId="00000035">
      <w:pPr>
        <w:ind w:left="0" w:firstLine="0"/>
        <w:rPr>
          <w:shd w:fill="fce5cd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