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834D5" w14:textId="77777777" w:rsidR="00B1610F" w:rsidRDefault="00B1610F" w:rsidP="004A4545">
      <w:pPr>
        <w:spacing w:line="480" w:lineRule="auto"/>
        <w:jc w:val="center"/>
        <w:rPr>
          <w:u w:val="single"/>
        </w:rPr>
      </w:pPr>
      <w:proofErr w:type="spellStart"/>
      <w:r>
        <w:rPr>
          <w:u w:val="single"/>
        </w:rPr>
        <w:t>Haverwood</w:t>
      </w:r>
      <w:proofErr w:type="spellEnd"/>
      <w:r>
        <w:rPr>
          <w:u w:val="single"/>
        </w:rPr>
        <w:t xml:space="preserve"> Furniture, Inc. Decision</w:t>
      </w:r>
      <w:bookmarkStart w:id="0" w:name="_GoBack"/>
      <w:bookmarkEnd w:id="0"/>
    </w:p>
    <w:p w14:paraId="2B8FD44E" w14:textId="77777777" w:rsidR="00254870" w:rsidRDefault="00B1610F" w:rsidP="00D749C6">
      <w:pPr>
        <w:spacing w:line="480" w:lineRule="auto"/>
      </w:pPr>
      <w:r w:rsidRPr="00B1610F">
        <w:rPr>
          <w:u w:val="single"/>
        </w:rPr>
        <w:t>Opportunity</w:t>
      </w:r>
      <w:r>
        <w:t xml:space="preserve">- </w:t>
      </w:r>
      <w:r w:rsidR="00A06504">
        <w:t xml:space="preserve">The opportunity in this case comes from the change in advertising budget for the </w:t>
      </w:r>
      <w:proofErr w:type="spellStart"/>
      <w:r w:rsidR="00A06504">
        <w:t>Haverwood</w:t>
      </w:r>
      <w:proofErr w:type="spellEnd"/>
      <w:r w:rsidR="00A06504">
        <w:t xml:space="preserve"> Furniture, Inc.  The idea behind the change is to increase the consumer advertising budget by $225,000. This raise would allow for more </w:t>
      </w:r>
      <w:proofErr w:type="gramStart"/>
      <w:r w:rsidR="00A06504">
        <w:t>consumer based</w:t>
      </w:r>
      <w:proofErr w:type="gramEnd"/>
      <w:r w:rsidR="00A06504">
        <w:t xml:space="preserve"> advertising in shelter magazines. The expansion of the consumer advertising budget would allow </w:t>
      </w:r>
      <w:proofErr w:type="spellStart"/>
      <w:r w:rsidR="00A06504">
        <w:t>Haverwood</w:t>
      </w:r>
      <w:proofErr w:type="spellEnd"/>
      <w:r w:rsidR="00A06504">
        <w:t xml:space="preserve"> to broaden their brand exposure to potential customers. Currently the budget for promotional ventures is $3,675,000 (As of 2007) which was subdivided into sales expenses, cooperative advertising programs with retailers, trade promotion and consumer advertising. </w:t>
      </w:r>
      <w:r w:rsidR="00E8341C">
        <w:t>One</w:t>
      </w:r>
      <w:r w:rsidR="00AD713A">
        <w:t xml:space="preserve"> aspect to consider is that</w:t>
      </w:r>
      <w:r w:rsidR="00FA38D0">
        <w:t xml:space="preserve"> one of the highest selling age groups are 45-64 range which incidentally are the baby boomers who have more disposable income. It should also be noted that the baby boomers are the most rapidly growing age group in the US.</w:t>
      </w:r>
      <w:sdt>
        <w:sdtPr>
          <w:id w:val="-1383633510"/>
          <w:citation/>
        </w:sdtPr>
        <w:sdtEndPr/>
        <w:sdtContent>
          <w:r w:rsidR="00F731BA">
            <w:fldChar w:fldCharType="begin"/>
          </w:r>
          <w:r w:rsidR="00FA38D0">
            <w:instrText xml:space="preserve"> CITATION Uni11 \l 1033 </w:instrText>
          </w:r>
          <w:r w:rsidR="00F731BA">
            <w:fldChar w:fldCharType="separate"/>
          </w:r>
          <w:r w:rsidR="00863E17">
            <w:rPr>
              <w:noProof/>
            </w:rPr>
            <w:t xml:space="preserve"> (United States Census Bureau, 2011)</w:t>
          </w:r>
          <w:r w:rsidR="00F731BA">
            <w:fldChar w:fldCharType="end"/>
          </w:r>
        </w:sdtContent>
      </w:sdt>
    </w:p>
    <w:p w14:paraId="47D070CE" w14:textId="77777777" w:rsidR="00107C5B" w:rsidRDefault="004B285F" w:rsidP="002928F4">
      <w:pPr>
        <w:spacing w:line="480" w:lineRule="auto"/>
      </w:pPr>
      <w:r w:rsidRPr="004B285F">
        <w:rPr>
          <w:u w:val="single"/>
        </w:rPr>
        <w:t>Causes-</w:t>
      </w:r>
      <w:r>
        <w:rPr>
          <w:u w:val="single"/>
        </w:rPr>
        <w:t xml:space="preserve"> </w:t>
      </w:r>
      <w:r>
        <w:t xml:space="preserve">There are several causes in which need to be taken into consideration on the budget increase in marketing. According to </w:t>
      </w:r>
      <w:r w:rsidRPr="004B285F">
        <w:rPr>
          <w:i/>
        </w:rPr>
        <w:t>Standard &amp; Poor’s Industry Surveys</w:t>
      </w:r>
      <w:r>
        <w:t xml:space="preserve"> </w:t>
      </w:r>
      <w:r w:rsidR="00107C5B">
        <w:t xml:space="preserve">consumers are picky when it comes to selecting furniture for their home. </w:t>
      </w:r>
      <w:proofErr w:type="gramStart"/>
      <w:r w:rsidR="00107C5B">
        <w:t>Also</w:t>
      </w:r>
      <w:proofErr w:type="gramEnd"/>
      <w:r w:rsidR="00107C5B">
        <w:t xml:space="preserve"> according to a </w:t>
      </w:r>
      <w:r w:rsidR="00107C5B" w:rsidRPr="00107C5B">
        <w:rPr>
          <w:i/>
        </w:rPr>
        <w:t>Better Homes and Gardens</w:t>
      </w:r>
      <w:r w:rsidR="00107C5B">
        <w:t xml:space="preserve"> consumer panel there are several things that influence a consumer on which store they select from. The two highest influences on selecting a store are the store being highly dependable at a score of 85.1. The second is the store carrying the style of furniture that the consumer wants at a score of 88.0. This means that to better serve the target market there needs to be more </w:t>
      </w:r>
      <w:proofErr w:type="gramStart"/>
      <w:r w:rsidR="00107C5B">
        <w:t>c</w:t>
      </w:r>
      <w:r w:rsidR="00863E17">
        <w:t>onsumer based</w:t>
      </w:r>
      <w:proofErr w:type="gramEnd"/>
      <w:r w:rsidR="00863E17">
        <w:t xml:space="preserve"> advertising.</w:t>
      </w:r>
    </w:p>
    <w:p w14:paraId="228458B8" w14:textId="77777777" w:rsidR="004B285F" w:rsidRDefault="00107C5B" w:rsidP="002E26DE">
      <w:pPr>
        <w:spacing w:line="480" w:lineRule="auto"/>
      </w:pPr>
      <w:r w:rsidRPr="00107C5B">
        <w:rPr>
          <w:u w:val="single"/>
        </w:rPr>
        <w:t>Recommended solution</w:t>
      </w:r>
    </w:p>
    <w:p w14:paraId="4A4C4211" w14:textId="77777777" w:rsidR="00107C5B" w:rsidRDefault="00107C5B" w:rsidP="00D749C6">
      <w:pPr>
        <w:spacing w:line="480" w:lineRule="auto"/>
      </w:pPr>
      <w:r w:rsidRPr="00107C5B">
        <w:rPr>
          <w:u w:val="single"/>
        </w:rPr>
        <w:t>Product-</w:t>
      </w:r>
      <w:r>
        <w:rPr>
          <w:u w:val="single"/>
        </w:rPr>
        <w:t xml:space="preserve"> </w:t>
      </w:r>
      <w:r>
        <w:t xml:space="preserve">The product being sold is high end wooden furniture being marketed towards the aging consumer. This would include the 35-44 group who is focused on homebuilding and the 55-64 group who are often the older generation with more disposable income. </w:t>
      </w:r>
    </w:p>
    <w:p w14:paraId="6A8F5AFE" w14:textId="77777777" w:rsidR="00107C5B" w:rsidRDefault="00241A9E" w:rsidP="00D749C6">
      <w:pPr>
        <w:spacing w:line="480" w:lineRule="auto"/>
      </w:pPr>
      <w:r w:rsidRPr="00241A9E">
        <w:rPr>
          <w:u w:val="single"/>
        </w:rPr>
        <w:lastRenderedPageBreak/>
        <w:t>Price-</w:t>
      </w:r>
      <w:r>
        <w:t xml:space="preserve"> The price of the items varied based on the item selected however often entire bedroom suites would range from $1,500-$5,000. This means that the target market would </w:t>
      </w:r>
      <w:proofErr w:type="gramStart"/>
      <w:r>
        <w:t>actually be</w:t>
      </w:r>
      <w:proofErr w:type="gramEnd"/>
      <w:r>
        <w:t xml:space="preserve"> more aimed at those with an average household income of greater than $100,000 and a fair amount of disposable income.</w:t>
      </w:r>
    </w:p>
    <w:p w14:paraId="18A2B3CB" w14:textId="77777777" w:rsidR="00241A9E" w:rsidRDefault="00241A9E" w:rsidP="00D749C6">
      <w:pPr>
        <w:spacing w:line="480" w:lineRule="auto"/>
      </w:pPr>
      <w:r w:rsidRPr="00241A9E">
        <w:rPr>
          <w:u w:val="single"/>
        </w:rPr>
        <w:t>Place-</w:t>
      </w:r>
      <w:r>
        <w:rPr>
          <w:u w:val="single"/>
        </w:rPr>
        <w:t xml:space="preserve"> </w:t>
      </w:r>
      <w:r>
        <w:t xml:space="preserve">The products being sold are mainly sold out of specialty locations. Specifically speaking through 1,000 independent stores nationwide. It should be noted though that </w:t>
      </w:r>
      <w:proofErr w:type="spellStart"/>
      <w:r>
        <w:t>Haverwood’s</w:t>
      </w:r>
      <w:proofErr w:type="spellEnd"/>
      <w:r>
        <w:t xml:space="preserve"> policy is to not sell through discount stores or chain stores such as Rooms </w:t>
      </w:r>
      <w:proofErr w:type="gramStart"/>
      <w:r>
        <w:t>To</w:t>
      </w:r>
      <w:proofErr w:type="gramEnd"/>
      <w:r>
        <w:t xml:space="preserve"> Go. This allows </w:t>
      </w:r>
      <w:proofErr w:type="spellStart"/>
      <w:r>
        <w:t>Haverwood</w:t>
      </w:r>
      <w:proofErr w:type="spellEnd"/>
      <w:r>
        <w:t xml:space="preserve"> to maintain a status as a </w:t>
      </w:r>
      <w:proofErr w:type="gramStart"/>
      <w:r>
        <w:t>high end</w:t>
      </w:r>
      <w:proofErr w:type="gramEnd"/>
      <w:r>
        <w:t xml:space="preserve"> retailer without losing their prestige.</w:t>
      </w:r>
    </w:p>
    <w:p w14:paraId="34D82D57" w14:textId="77777777" w:rsidR="00241A9E" w:rsidRDefault="00241A9E" w:rsidP="00D749C6">
      <w:pPr>
        <w:spacing w:line="480" w:lineRule="auto"/>
      </w:pPr>
      <w:r w:rsidRPr="00241A9E">
        <w:rPr>
          <w:u w:val="single"/>
        </w:rPr>
        <w:t>Promotion-</w:t>
      </w:r>
      <w:r w:rsidR="00695ACC">
        <w:t xml:space="preserve"> The products that are sold by </w:t>
      </w:r>
      <w:proofErr w:type="spellStart"/>
      <w:r w:rsidR="00695ACC">
        <w:t>Haverwood</w:t>
      </w:r>
      <w:proofErr w:type="spellEnd"/>
      <w:r w:rsidR="00695ACC">
        <w:t xml:space="preserve"> Inc are by design high end. The promotion of the product comes from the exclusiveness of the stores along with the </w:t>
      </w:r>
      <w:proofErr w:type="gramStart"/>
      <w:r w:rsidR="00695ACC">
        <w:t>high end</w:t>
      </w:r>
      <w:proofErr w:type="gramEnd"/>
      <w:r w:rsidR="00695ACC">
        <w:t xml:space="preserve"> pricing. </w:t>
      </w:r>
      <w:proofErr w:type="gramStart"/>
      <w:r w:rsidR="00695ACC">
        <w:t>Also</w:t>
      </w:r>
      <w:proofErr w:type="gramEnd"/>
      <w:r w:rsidR="00695ACC">
        <w:t xml:space="preserve"> as with how the product is placed often stores that sell </w:t>
      </w:r>
      <w:proofErr w:type="spellStart"/>
      <w:r w:rsidR="00695ACC">
        <w:t>Haverwood</w:t>
      </w:r>
      <w:proofErr w:type="spellEnd"/>
      <w:r w:rsidR="00695ACC">
        <w:t xml:space="preserve"> products either do not carry very many other brands or they are more of a “gallery” in which entire lines of products are displayed. </w:t>
      </w:r>
    </w:p>
    <w:p w14:paraId="64503E17" w14:textId="77777777" w:rsidR="004A4545" w:rsidRDefault="00695ACC" w:rsidP="00D749C6">
      <w:pPr>
        <w:spacing w:line="480" w:lineRule="auto"/>
      </w:pPr>
      <w:r w:rsidRPr="00695ACC">
        <w:rPr>
          <w:u w:val="single"/>
        </w:rPr>
        <w:t>Solution-</w:t>
      </w:r>
      <w:r>
        <w:rPr>
          <w:u w:val="single"/>
        </w:rPr>
        <w:t xml:space="preserve"> </w:t>
      </w:r>
      <w:r w:rsidRPr="00695ACC">
        <w:rPr>
          <w:b/>
        </w:rPr>
        <w:t>Invest in the budget increase</w:t>
      </w:r>
      <w:r>
        <w:t xml:space="preserve">. Although in 2007 </w:t>
      </w:r>
      <w:proofErr w:type="spellStart"/>
      <w:r>
        <w:t>Haverwood</w:t>
      </w:r>
      <w:proofErr w:type="spellEnd"/>
      <w:r>
        <w:t xml:space="preserve"> had allocated $3,675,000 for promotional expenditures. </w:t>
      </w:r>
      <w:r w:rsidR="00887B15">
        <w:t xml:space="preserve">Of this approved budget $562,500 was allocated to consumer advertising. This would mean that with an increase of the requested $225,000 it would bring the total to $787,500. There are concerns that if the budget is increased to this level that it would raise to more than the 5% policy of net profits before taxes. </w:t>
      </w:r>
      <w:proofErr w:type="gramStart"/>
      <w:r w:rsidR="00887B15">
        <w:t>However</w:t>
      </w:r>
      <w:proofErr w:type="gramEnd"/>
      <w:r w:rsidR="00887B15">
        <w:t xml:space="preserve"> it should be noted that with the increasingly growing target market and the desires of the consumer it would be beneficial to increase more consumer advertising. This would be accomplished through page ads in magazines such as </w:t>
      </w:r>
      <w:r w:rsidR="00887B15" w:rsidRPr="00887B15">
        <w:rPr>
          <w:i/>
        </w:rPr>
        <w:t>Better Homes and Gardens</w:t>
      </w:r>
      <w:r w:rsidR="00887B15">
        <w:t xml:space="preserve"> and </w:t>
      </w:r>
      <w:r w:rsidR="00887B15" w:rsidRPr="00887B15">
        <w:rPr>
          <w:i/>
        </w:rPr>
        <w:t>Country Living</w:t>
      </w:r>
      <w:r w:rsidR="00887B15">
        <w:t>.</w:t>
      </w:r>
      <w:r w:rsidR="008C1E82">
        <w:t xml:space="preserve"> This would better serve the older population </w:t>
      </w:r>
      <w:proofErr w:type="gramStart"/>
      <w:r w:rsidR="008C1E82">
        <w:t>due to the fact that</w:t>
      </w:r>
      <w:proofErr w:type="gramEnd"/>
      <w:r w:rsidR="008C1E82">
        <w:t xml:space="preserve"> many of the target market are not avid internet users </w:t>
      </w:r>
      <w:sdt>
        <w:sdtPr>
          <w:id w:val="1234037550"/>
          <w:citation/>
        </w:sdtPr>
        <w:sdtEndPr/>
        <w:sdtContent>
          <w:r w:rsidR="00F731BA">
            <w:fldChar w:fldCharType="begin"/>
          </w:r>
          <w:r w:rsidR="008C1E82">
            <w:instrText xml:space="preserve"> CITATION Lym09 \l 1033 </w:instrText>
          </w:r>
          <w:r w:rsidR="00F731BA">
            <w:fldChar w:fldCharType="separate"/>
          </w:r>
          <w:r w:rsidR="00863E17">
            <w:rPr>
              <w:noProof/>
            </w:rPr>
            <w:t>(Morales, 2009)</w:t>
          </w:r>
          <w:r w:rsidR="00F731BA">
            <w:fldChar w:fldCharType="end"/>
          </w:r>
        </w:sdtContent>
      </w:sdt>
      <w:r w:rsidR="008C1E82">
        <w:t xml:space="preserve">. The same study showed that less than </w:t>
      </w:r>
      <w:r w:rsidR="00EB3CF4">
        <w:t>23%</w:t>
      </w:r>
      <w:r w:rsidR="008C1E82">
        <w:t xml:space="preserve"> of internet users were older than age 65. </w:t>
      </w:r>
    </w:p>
    <w:tbl>
      <w:tblPr>
        <w:tblW w:w="9439" w:type="dxa"/>
        <w:tblInd w:w="108" w:type="dxa"/>
        <w:tblLook w:val="04A0" w:firstRow="1" w:lastRow="0" w:firstColumn="1" w:lastColumn="0" w:noHBand="0" w:noVBand="1"/>
      </w:tblPr>
      <w:tblGrid>
        <w:gridCol w:w="3310"/>
        <w:gridCol w:w="1758"/>
        <w:gridCol w:w="1290"/>
        <w:gridCol w:w="1771"/>
        <w:gridCol w:w="1310"/>
      </w:tblGrid>
      <w:tr w:rsidR="00D749C6" w:rsidRPr="00D749C6" w14:paraId="6D7C5E5C" w14:textId="77777777" w:rsidTr="00863E17">
        <w:trPr>
          <w:trHeight w:val="96"/>
        </w:trPr>
        <w:tc>
          <w:tcPr>
            <w:tcW w:w="9439" w:type="dxa"/>
            <w:gridSpan w:val="5"/>
            <w:tcBorders>
              <w:top w:val="nil"/>
              <w:left w:val="nil"/>
              <w:bottom w:val="nil"/>
              <w:right w:val="nil"/>
            </w:tcBorders>
            <w:shd w:val="clear" w:color="auto" w:fill="auto"/>
            <w:noWrap/>
            <w:vAlign w:val="bottom"/>
            <w:hideMark/>
          </w:tcPr>
          <w:p w14:paraId="756AF03D" w14:textId="77777777" w:rsidR="00D749C6" w:rsidRDefault="008C1E82" w:rsidP="00D749C6">
            <w:pPr>
              <w:spacing w:after="0" w:line="240" w:lineRule="auto"/>
              <w:rPr>
                <w:u w:val="single"/>
              </w:rPr>
            </w:pPr>
            <w:r w:rsidRPr="008C1E82">
              <w:rPr>
                <w:u w:val="single"/>
              </w:rPr>
              <w:lastRenderedPageBreak/>
              <w:t>Quantitative Analysis-</w:t>
            </w:r>
          </w:p>
          <w:p w14:paraId="228F45FA" w14:textId="77777777" w:rsidR="00D749C6" w:rsidRPr="00D749C6" w:rsidRDefault="00D749C6" w:rsidP="00D749C6">
            <w:pPr>
              <w:spacing w:after="0" w:line="240" w:lineRule="auto"/>
              <w:jc w:val="center"/>
              <w:rPr>
                <w:rFonts w:ascii="Tw Cen MT" w:eastAsia="Times New Roman" w:hAnsi="Tw Cen MT" w:cs="Arial"/>
                <w:b/>
                <w:bCs/>
                <w:sz w:val="24"/>
                <w:szCs w:val="24"/>
                <w:lang w:bidi="he-IL"/>
              </w:rPr>
            </w:pPr>
            <w:proofErr w:type="spellStart"/>
            <w:r w:rsidRPr="00D749C6">
              <w:rPr>
                <w:rFonts w:ascii="Tw Cen MT" w:eastAsia="Times New Roman" w:hAnsi="Tw Cen MT" w:cs="Arial"/>
                <w:b/>
                <w:bCs/>
                <w:sz w:val="24"/>
                <w:szCs w:val="24"/>
                <w:lang w:bidi="he-IL"/>
              </w:rPr>
              <w:t>Haverwood</w:t>
            </w:r>
            <w:proofErr w:type="spellEnd"/>
            <w:r w:rsidRPr="00D749C6">
              <w:rPr>
                <w:rFonts w:ascii="Tw Cen MT" w:eastAsia="Times New Roman" w:hAnsi="Tw Cen MT" w:cs="Arial"/>
                <w:b/>
                <w:bCs/>
                <w:sz w:val="24"/>
                <w:szCs w:val="24"/>
                <w:lang w:bidi="he-IL"/>
              </w:rPr>
              <w:t xml:space="preserve"> Furniture - Promotion Budget</w:t>
            </w:r>
          </w:p>
        </w:tc>
      </w:tr>
      <w:tr w:rsidR="002928F4" w:rsidRPr="00D749C6" w14:paraId="3AD26990" w14:textId="77777777" w:rsidTr="00863E17">
        <w:trPr>
          <w:trHeight w:val="88"/>
        </w:trPr>
        <w:tc>
          <w:tcPr>
            <w:tcW w:w="3310" w:type="dxa"/>
            <w:tcBorders>
              <w:top w:val="nil"/>
              <w:left w:val="nil"/>
              <w:bottom w:val="nil"/>
              <w:right w:val="nil"/>
            </w:tcBorders>
            <w:shd w:val="clear" w:color="auto" w:fill="auto"/>
            <w:noWrap/>
            <w:vAlign w:val="bottom"/>
            <w:hideMark/>
          </w:tcPr>
          <w:p w14:paraId="573CE7C1" w14:textId="77777777" w:rsidR="00D749C6" w:rsidRPr="00D749C6" w:rsidRDefault="00D749C6" w:rsidP="00D749C6">
            <w:pPr>
              <w:spacing w:after="0" w:line="240" w:lineRule="auto"/>
              <w:rPr>
                <w:rFonts w:ascii="Tw Cen MT" w:eastAsia="Times New Roman" w:hAnsi="Tw Cen MT" w:cs="Arial"/>
                <w:lang w:bidi="he-IL"/>
              </w:rPr>
            </w:pPr>
          </w:p>
        </w:tc>
        <w:tc>
          <w:tcPr>
            <w:tcW w:w="1758" w:type="dxa"/>
            <w:tcBorders>
              <w:top w:val="nil"/>
              <w:left w:val="nil"/>
              <w:bottom w:val="nil"/>
              <w:right w:val="nil"/>
            </w:tcBorders>
            <w:shd w:val="clear" w:color="auto" w:fill="auto"/>
            <w:noWrap/>
            <w:vAlign w:val="bottom"/>
            <w:hideMark/>
          </w:tcPr>
          <w:p w14:paraId="5693CC86" w14:textId="77777777" w:rsidR="00D749C6" w:rsidRPr="00D749C6" w:rsidRDefault="00D749C6" w:rsidP="00D749C6">
            <w:pPr>
              <w:spacing w:after="0" w:line="240" w:lineRule="auto"/>
              <w:rPr>
                <w:rFonts w:ascii="Tw Cen MT" w:eastAsia="Times New Roman" w:hAnsi="Tw Cen MT" w:cs="Arial"/>
                <w:lang w:bidi="he-IL"/>
              </w:rPr>
            </w:pPr>
          </w:p>
        </w:tc>
        <w:tc>
          <w:tcPr>
            <w:tcW w:w="1290" w:type="dxa"/>
            <w:tcBorders>
              <w:top w:val="nil"/>
              <w:left w:val="nil"/>
              <w:bottom w:val="nil"/>
              <w:right w:val="nil"/>
            </w:tcBorders>
            <w:shd w:val="clear" w:color="auto" w:fill="auto"/>
            <w:noWrap/>
            <w:vAlign w:val="bottom"/>
            <w:hideMark/>
          </w:tcPr>
          <w:p w14:paraId="7F1A22B8" w14:textId="77777777" w:rsidR="00D749C6" w:rsidRPr="00D749C6" w:rsidRDefault="00D749C6" w:rsidP="00D749C6">
            <w:pPr>
              <w:spacing w:after="0" w:line="240" w:lineRule="auto"/>
              <w:rPr>
                <w:rFonts w:ascii="Tw Cen MT" w:eastAsia="Times New Roman" w:hAnsi="Tw Cen MT" w:cs="Arial"/>
                <w:lang w:bidi="he-IL"/>
              </w:rPr>
            </w:pPr>
          </w:p>
        </w:tc>
        <w:tc>
          <w:tcPr>
            <w:tcW w:w="1771" w:type="dxa"/>
            <w:tcBorders>
              <w:top w:val="nil"/>
              <w:left w:val="nil"/>
              <w:bottom w:val="nil"/>
              <w:right w:val="nil"/>
            </w:tcBorders>
            <w:shd w:val="clear" w:color="auto" w:fill="auto"/>
            <w:noWrap/>
            <w:vAlign w:val="bottom"/>
            <w:hideMark/>
          </w:tcPr>
          <w:p w14:paraId="28B2D838" w14:textId="77777777" w:rsidR="00D749C6" w:rsidRPr="00D749C6" w:rsidRDefault="00D749C6" w:rsidP="00D749C6">
            <w:pPr>
              <w:spacing w:after="0" w:line="240" w:lineRule="auto"/>
              <w:rPr>
                <w:rFonts w:ascii="Tw Cen MT" w:eastAsia="Times New Roman" w:hAnsi="Tw Cen MT" w:cs="Arial"/>
                <w:lang w:bidi="he-IL"/>
              </w:rPr>
            </w:pPr>
          </w:p>
        </w:tc>
        <w:tc>
          <w:tcPr>
            <w:tcW w:w="1310" w:type="dxa"/>
            <w:tcBorders>
              <w:top w:val="nil"/>
              <w:left w:val="nil"/>
              <w:bottom w:val="nil"/>
              <w:right w:val="nil"/>
            </w:tcBorders>
            <w:shd w:val="clear" w:color="auto" w:fill="auto"/>
            <w:noWrap/>
            <w:vAlign w:val="bottom"/>
            <w:hideMark/>
          </w:tcPr>
          <w:p w14:paraId="701D9B0E" w14:textId="77777777" w:rsidR="00D749C6" w:rsidRPr="00D749C6" w:rsidRDefault="00D749C6" w:rsidP="00D749C6">
            <w:pPr>
              <w:spacing w:after="0" w:line="240" w:lineRule="auto"/>
              <w:rPr>
                <w:rFonts w:ascii="Arial" w:eastAsia="Times New Roman" w:hAnsi="Arial" w:cs="Arial"/>
                <w:sz w:val="20"/>
                <w:szCs w:val="20"/>
                <w:lang w:bidi="he-IL"/>
              </w:rPr>
            </w:pPr>
          </w:p>
        </w:tc>
      </w:tr>
      <w:tr w:rsidR="002928F4" w:rsidRPr="00D749C6" w14:paraId="20349AFE" w14:textId="77777777" w:rsidTr="00863E17">
        <w:trPr>
          <w:trHeight w:val="278"/>
        </w:trPr>
        <w:tc>
          <w:tcPr>
            <w:tcW w:w="33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288E5B" w14:textId="77777777" w:rsidR="00D749C6" w:rsidRPr="00D749C6" w:rsidRDefault="00D749C6" w:rsidP="00D749C6">
            <w:pPr>
              <w:spacing w:after="0" w:line="240" w:lineRule="auto"/>
              <w:rPr>
                <w:rFonts w:ascii="Tw Cen MT" w:eastAsia="Times New Roman" w:hAnsi="Tw Cen MT" w:cs="Arial"/>
                <w:b/>
                <w:bCs/>
                <w:lang w:bidi="he-IL"/>
              </w:rPr>
            </w:pPr>
            <w:r w:rsidRPr="00D749C6">
              <w:rPr>
                <w:rFonts w:ascii="Tw Cen MT" w:eastAsia="Times New Roman" w:hAnsi="Tw Cen MT" w:cs="Arial"/>
                <w:b/>
                <w:bCs/>
                <w:lang w:bidi="he-IL"/>
              </w:rPr>
              <w:t>Item</w:t>
            </w:r>
          </w:p>
        </w:tc>
        <w:tc>
          <w:tcPr>
            <w:tcW w:w="1758" w:type="dxa"/>
            <w:tcBorders>
              <w:top w:val="single" w:sz="4" w:space="0" w:color="auto"/>
              <w:left w:val="nil"/>
              <w:bottom w:val="single" w:sz="4" w:space="0" w:color="auto"/>
              <w:right w:val="single" w:sz="4" w:space="0" w:color="auto"/>
            </w:tcBorders>
            <w:shd w:val="clear" w:color="auto" w:fill="auto"/>
            <w:vAlign w:val="bottom"/>
            <w:hideMark/>
          </w:tcPr>
          <w:p w14:paraId="6FEA191D" w14:textId="77777777" w:rsidR="00D749C6" w:rsidRPr="00D749C6" w:rsidRDefault="00D749C6" w:rsidP="00D749C6">
            <w:pPr>
              <w:spacing w:after="0" w:line="240" w:lineRule="auto"/>
              <w:jc w:val="right"/>
              <w:rPr>
                <w:rFonts w:ascii="Tw Cen MT" w:eastAsia="Times New Roman" w:hAnsi="Tw Cen MT" w:cs="Arial"/>
                <w:b/>
                <w:bCs/>
                <w:lang w:bidi="he-IL"/>
              </w:rPr>
            </w:pPr>
            <w:r w:rsidRPr="00D749C6">
              <w:rPr>
                <w:rFonts w:ascii="Tw Cen MT" w:eastAsia="Times New Roman" w:hAnsi="Tw Cen MT" w:cs="Arial"/>
                <w:b/>
                <w:bCs/>
                <w:lang w:bidi="he-IL"/>
              </w:rPr>
              <w:t>2007</w:t>
            </w:r>
          </w:p>
        </w:tc>
        <w:tc>
          <w:tcPr>
            <w:tcW w:w="1290" w:type="dxa"/>
            <w:tcBorders>
              <w:top w:val="single" w:sz="4" w:space="0" w:color="auto"/>
              <w:left w:val="nil"/>
              <w:bottom w:val="single" w:sz="4" w:space="0" w:color="auto"/>
              <w:right w:val="nil"/>
            </w:tcBorders>
            <w:shd w:val="clear" w:color="auto" w:fill="auto"/>
            <w:vAlign w:val="bottom"/>
            <w:hideMark/>
          </w:tcPr>
          <w:p w14:paraId="02D2687F" w14:textId="77777777" w:rsidR="00D749C6" w:rsidRPr="00D749C6" w:rsidRDefault="00D749C6" w:rsidP="00D749C6">
            <w:pPr>
              <w:spacing w:after="0" w:line="240" w:lineRule="auto"/>
              <w:jc w:val="right"/>
              <w:rPr>
                <w:rFonts w:ascii="Tw Cen MT" w:eastAsia="Times New Roman" w:hAnsi="Tw Cen MT" w:cs="Arial"/>
                <w:b/>
                <w:bCs/>
                <w:lang w:bidi="he-IL"/>
              </w:rPr>
            </w:pPr>
            <w:r w:rsidRPr="00D749C6">
              <w:rPr>
                <w:rFonts w:ascii="Tw Cen MT" w:eastAsia="Times New Roman" w:hAnsi="Tw Cen MT" w:cs="Arial"/>
                <w:b/>
                <w:bCs/>
                <w:lang w:bidi="he-IL"/>
              </w:rPr>
              <w:t xml:space="preserve">Percent of Revenue (2007) </w:t>
            </w:r>
          </w:p>
        </w:tc>
        <w:tc>
          <w:tcPr>
            <w:tcW w:w="1771" w:type="dxa"/>
            <w:tcBorders>
              <w:top w:val="single" w:sz="4" w:space="0" w:color="auto"/>
              <w:left w:val="double" w:sz="6" w:space="0" w:color="auto"/>
              <w:bottom w:val="single" w:sz="4" w:space="0" w:color="auto"/>
              <w:right w:val="single" w:sz="4" w:space="0" w:color="auto"/>
            </w:tcBorders>
            <w:shd w:val="clear" w:color="auto" w:fill="auto"/>
            <w:vAlign w:val="bottom"/>
            <w:hideMark/>
          </w:tcPr>
          <w:p w14:paraId="5CFF8675" w14:textId="77777777" w:rsidR="00D749C6" w:rsidRPr="00D749C6" w:rsidRDefault="00D749C6" w:rsidP="00D749C6">
            <w:pPr>
              <w:spacing w:after="0" w:line="240" w:lineRule="auto"/>
              <w:jc w:val="right"/>
              <w:rPr>
                <w:rFonts w:ascii="Tw Cen MT" w:eastAsia="Times New Roman" w:hAnsi="Tw Cen MT" w:cs="Arial"/>
                <w:b/>
                <w:bCs/>
                <w:lang w:bidi="he-IL"/>
              </w:rPr>
            </w:pPr>
            <w:r w:rsidRPr="00D749C6">
              <w:rPr>
                <w:rFonts w:ascii="Tw Cen MT" w:eastAsia="Times New Roman" w:hAnsi="Tw Cen MT" w:cs="Arial"/>
                <w:b/>
                <w:bCs/>
                <w:lang w:bidi="he-IL"/>
              </w:rPr>
              <w:t xml:space="preserve"> Proposal 2008</w:t>
            </w:r>
          </w:p>
        </w:tc>
        <w:tc>
          <w:tcPr>
            <w:tcW w:w="1310" w:type="dxa"/>
            <w:tcBorders>
              <w:top w:val="single" w:sz="4" w:space="0" w:color="auto"/>
              <w:left w:val="nil"/>
              <w:bottom w:val="single" w:sz="4" w:space="0" w:color="auto"/>
              <w:right w:val="single" w:sz="4" w:space="0" w:color="auto"/>
            </w:tcBorders>
            <w:shd w:val="clear" w:color="auto" w:fill="auto"/>
            <w:vAlign w:val="bottom"/>
            <w:hideMark/>
          </w:tcPr>
          <w:p w14:paraId="51D62ACB" w14:textId="77777777" w:rsidR="00D749C6" w:rsidRPr="00D749C6" w:rsidRDefault="00D749C6" w:rsidP="00D749C6">
            <w:pPr>
              <w:spacing w:after="0" w:line="240" w:lineRule="auto"/>
              <w:jc w:val="right"/>
              <w:rPr>
                <w:rFonts w:ascii="Tw Cen MT" w:eastAsia="Times New Roman" w:hAnsi="Tw Cen MT" w:cs="Arial"/>
                <w:b/>
                <w:bCs/>
                <w:lang w:bidi="he-IL"/>
              </w:rPr>
            </w:pPr>
            <w:r w:rsidRPr="00D749C6">
              <w:rPr>
                <w:rFonts w:ascii="Tw Cen MT" w:eastAsia="Times New Roman" w:hAnsi="Tw Cen MT" w:cs="Arial"/>
                <w:b/>
                <w:bCs/>
                <w:lang w:bidi="he-IL"/>
              </w:rPr>
              <w:t xml:space="preserve">Percent of Revenue (2008) </w:t>
            </w:r>
          </w:p>
        </w:tc>
      </w:tr>
      <w:tr w:rsidR="002928F4" w:rsidRPr="00D749C6" w14:paraId="7E0A8DE5" w14:textId="77777777" w:rsidTr="00863E17">
        <w:trPr>
          <w:trHeight w:val="129"/>
        </w:trPr>
        <w:tc>
          <w:tcPr>
            <w:tcW w:w="3310" w:type="dxa"/>
            <w:tcBorders>
              <w:top w:val="nil"/>
              <w:left w:val="single" w:sz="4" w:space="0" w:color="auto"/>
              <w:bottom w:val="single" w:sz="4" w:space="0" w:color="auto"/>
              <w:right w:val="single" w:sz="4" w:space="0" w:color="auto"/>
            </w:tcBorders>
            <w:shd w:val="clear" w:color="000000" w:fill="66FF99"/>
            <w:vAlign w:val="bottom"/>
            <w:hideMark/>
          </w:tcPr>
          <w:p w14:paraId="1D2AD5AC" w14:textId="77777777" w:rsidR="00D749C6" w:rsidRPr="00D749C6" w:rsidRDefault="00D749C6" w:rsidP="00D749C6">
            <w:pPr>
              <w:spacing w:after="0" w:line="240" w:lineRule="auto"/>
              <w:rPr>
                <w:rFonts w:ascii="Tw Cen MT" w:eastAsia="Times New Roman" w:hAnsi="Tw Cen MT" w:cs="Arial"/>
                <w:lang w:bidi="he-IL"/>
              </w:rPr>
            </w:pPr>
            <w:r w:rsidRPr="00D749C6">
              <w:rPr>
                <w:rFonts w:ascii="Tw Cen MT" w:eastAsia="Times New Roman" w:hAnsi="Tw Cen MT" w:cs="Arial"/>
                <w:lang w:bidi="he-IL"/>
              </w:rPr>
              <w:t>Direct Sales - Sales Expense and Admin.</w:t>
            </w:r>
          </w:p>
        </w:tc>
        <w:tc>
          <w:tcPr>
            <w:tcW w:w="1758" w:type="dxa"/>
            <w:tcBorders>
              <w:top w:val="nil"/>
              <w:left w:val="nil"/>
              <w:bottom w:val="single" w:sz="4" w:space="0" w:color="auto"/>
              <w:right w:val="single" w:sz="4" w:space="0" w:color="auto"/>
            </w:tcBorders>
            <w:shd w:val="clear" w:color="auto" w:fill="auto"/>
            <w:noWrap/>
            <w:vAlign w:val="bottom"/>
            <w:hideMark/>
          </w:tcPr>
          <w:p w14:paraId="0F53E155" w14:textId="77777777" w:rsidR="00D749C6" w:rsidRPr="00D749C6" w:rsidRDefault="00D749C6" w:rsidP="00D749C6">
            <w:pPr>
              <w:spacing w:after="0" w:line="240" w:lineRule="auto"/>
              <w:jc w:val="right"/>
              <w:rPr>
                <w:rFonts w:ascii="Tw Cen MT" w:eastAsia="Times New Roman" w:hAnsi="Tw Cen MT" w:cs="Arial"/>
                <w:lang w:bidi="he-IL"/>
              </w:rPr>
            </w:pPr>
            <w:r w:rsidRPr="00D749C6">
              <w:rPr>
                <w:rFonts w:ascii="Tw Cen MT" w:eastAsia="Times New Roman" w:hAnsi="Tw Cen MT" w:cs="Arial"/>
                <w:lang w:bidi="he-IL"/>
              </w:rPr>
              <w:t>$995,500.00</w:t>
            </w:r>
          </w:p>
        </w:tc>
        <w:tc>
          <w:tcPr>
            <w:tcW w:w="1290" w:type="dxa"/>
            <w:tcBorders>
              <w:top w:val="nil"/>
              <w:left w:val="nil"/>
              <w:bottom w:val="nil"/>
              <w:right w:val="nil"/>
            </w:tcBorders>
            <w:shd w:val="clear" w:color="auto" w:fill="auto"/>
            <w:noWrap/>
            <w:vAlign w:val="bottom"/>
            <w:hideMark/>
          </w:tcPr>
          <w:p w14:paraId="1FF8360C" w14:textId="77777777" w:rsidR="00D749C6" w:rsidRPr="00D749C6" w:rsidRDefault="00D749C6" w:rsidP="00D749C6">
            <w:pPr>
              <w:spacing w:after="0" w:line="240" w:lineRule="auto"/>
              <w:jc w:val="right"/>
              <w:rPr>
                <w:rFonts w:ascii="Arial" w:eastAsia="Times New Roman" w:hAnsi="Arial" w:cs="Arial"/>
                <w:sz w:val="20"/>
                <w:szCs w:val="20"/>
                <w:lang w:bidi="he-IL"/>
              </w:rPr>
            </w:pPr>
            <w:r w:rsidRPr="00D749C6">
              <w:rPr>
                <w:rFonts w:ascii="Arial" w:eastAsia="Times New Roman" w:hAnsi="Arial" w:cs="Arial"/>
                <w:sz w:val="20"/>
                <w:szCs w:val="20"/>
                <w:lang w:bidi="he-IL"/>
              </w:rPr>
              <w:t>1.33%</w:t>
            </w:r>
          </w:p>
        </w:tc>
        <w:tc>
          <w:tcPr>
            <w:tcW w:w="1771" w:type="dxa"/>
            <w:tcBorders>
              <w:top w:val="nil"/>
              <w:left w:val="double" w:sz="6" w:space="0" w:color="auto"/>
              <w:bottom w:val="single" w:sz="4" w:space="0" w:color="auto"/>
              <w:right w:val="single" w:sz="4" w:space="0" w:color="auto"/>
            </w:tcBorders>
            <w:shd w:val="clear" w:color="000000" w:fill="66FF99"/>
            <w:noWrap/>
            <w:vAlign w:val="bottom"/>
            <w:hideMark/>
          </w:tcPr>
          <w:p w14:paraId="103E3EBB" w14:textId="77777777" w:rsidR="00D749C6" w:rsidRPr="00D749C6" w:rsidRDefault="00D749C6" w:rsidP="00D749C6">
            <w:pPr>
              <w:spacing w:after="0" w:line="240" w:lineRule="auto"/>
              <w:jc w:val="right"/>
              <w:rPr>
                <w:rFonts w:ascii="Tw Cen MT" w:eastAsia="Times New Roman" w:hAnsi="Tw Cen MT" w:cs="Arial"/>
                <w:lang w:bidi="he-IL"/>
              </w:rPr>
            </w:pPr>
            <w:r w:rsidRPr="00D749C6">
              <w:rPr>
                <w:rFonts w:ascii="Tw Cen MT" w:eastAsia="Times New Roman" w:hAnsi="Tw Cen MT" w:cs="Arial"/>
                <w:lang w:bidi="he-IL"/>
              </w:rPr>
              <w:t>$1,060,500.00</w:t>
            </w:r>
          </w:p>
        </w:tc>
        <w:tc>
          <w:tcPr>
            <w:tcW w:w="1310" w:type="dxa"/>
            <w:tcBorders>
              <w:top w:val="nil"/>
              <w:left w:val="nil"/>
              <w:bottom w:val="single" w:sz="4" w:space="0" w:color="auto"/>
              <w:right w:val="single" w:sz="4" w:space="0" w:color="auto"/>
            </w:tcBorders>
            <w:shd w:val="clear" w:color="000000" w:fill="66FF99"/>
            <w:noWrap/>
            <w:vAlign w:val="bottom"/>
            <w:hideMark/>
          </w:tcPr>
          <w:p w14:paraId="3EF953A4" w14:textId="77777777" w:rsidR="00D749C6" w:rsidRPr="00D749C6" w:rsidRDefault="00D749C6" w:rsidP="00D749C6">
            <w:pPr>
              <w:spacing w:after="0" w:line="240" w:lineRule="auto"/>
              <w:jc w:val="right"/>
              <w:rPr>
                <w:rFonts w:ascii="Tw Cen MT" w:eastAsia="Times New Roman" w:hAnsi="Tw Cen MT" w:cs="Arial"/>
                <w:lang w:bidi="he-IL"/>
              </w:rPr>
            </w:pPr>
            <w:r w:rsidRPr="00D749C6">
              <w:rPr>
                <w:rFonts w:ascii="Tw Cen MT" w:eastAsia="Times New Roman" w:hAnsi="Tw Cen MT" w:cs="Arial"/>
                <w:lang w:bidi="he-IL"/>
              </w:rPr>
              <w:t>1.36%</w:t>
            </w:r>
          </w:p>
        </w:tc>
      </w:tr>
      <w:tr w:rsidR="002928F4" w:rsidRPr="00D749C6" w14:paraId="172FBAB9" w14:textId="77777777" w:rsidTr="00863E17">
        <w:trPr>
          <w:trHeight w:val="129"/>
        </w:trPr>
        <w:tc>
          <w:tcPr>
            <w:tcW w:w="3310" w:type="dxa"/>
            <w:tcBorders>
              <w:top w:val="nil"/>
              <w:left w:val="single" w:sz="4" w:space="0" w:color="auto"/>
              <w:bottom w:val="single" w:sz="4" w:space="0" w:color="auto"/>
              <w:right w:val="single" w:sz="4" w:space="0" w:color="auto"/>
            </w:tcBorders>
            <w:shd w:val="clear" w:color="auto" w:fill="auto"/>
            <w:vAlign w:val="bottom"/>
            <w:hideMark/>
          </w:tcPr>
          <w:p w14:paraId="75F289CB" w14:textId="77777777" w:rsidR="00D749C6" w:rsidRPr="00D749C6" w:rsidRDefault="00D749C6" w:rsidP="00D749C6">
            <w:pPr>
              <w:spacing w:after="0" w:line="240" w:lineRule="auto"/>
              <w:rPr>
                <w:rFonts w:ascii="Tw Cen MT" w:eastAsia="Times New Roman" w:hAnsi="Tw Cen MT" w:cs="Arial"/>
                <w:lang w:bidi="he-IL"/>
              </w:rPr>
            </w:pPr>
            <w:r w:rsidRPr="00D749C6">
              <w:rPr>
                <w:rFonts w:ascii="Tw Cen MT" w:eastAsia="Times New Roman" w:hAnsi="Tw Cen MT" w:cs="Arial"/>
                <w:lang w:bidi="he-IL"/>
              </w:rPr>
              <w:t>Advertising</w:t>
            </w:r>
          </w:p>
        </w:tc>
        <w:tc>
          <w:tcPr>
            <w:tcW w:w="1758" w:type="dxa"/>
            <w:tcBorders>
              <w:top w:val="nil"/>
              <w:left w:val="nil"/>
              <w:bottom w:val="single" w:sz="4" w:space="0" w:color="auto"/>
              <w:right w:val="single" w:sz="4" w:space="0" w:color="auto"/>
            </w:tcBorders>
            <w:shd w:val="clear" w:color="auto" w:fill="auto"/>
            <w:noWrap/>
            <w:vAlign w:val="bottom"/>
            <w:hideMark/>
          </w:tcPr>
          <w:p w14:paraId="749D1778" w14:textId="77777777" w:rsidR="00D749C6" w:rsidRPr="00D749C6" w:rsidRDefault="00D749C6" w:rsidP="00D749C6">
            <w:pPr>
              <w:spacing w:after="0" w:line="240" w:lineRule="auto"/>
              <w:jc w:val="right"/>
              <w:rPr>
                <w:rFonts w:ascii="Tw Cen MT" w:eastAsia="Times New Roman" w:hAnsi="Tw Cen MT" w:cs="Arial"/>
                <w:lang w:bidi="he-IL"/>
              </w:rPr>
            </w:pPr>
            <w:r w:rsidRPr="00D749C6">
              <w:rPr>
                <w:rFonts w:ascii="Tw Cen MT" w:eastAsia="Times New Roman" w:hAnsi="Tw Cen MT" w:cs="Arial"/>
                <w:lang w:bidi="he-IL"/>
              </w:rPr>
              <w:t>---</w:t>
            </w:r>
          </w:p>
        </w:tc>
        <w:tc>
          <w:tcPr>
            <w:tcW w:w="1290" w:type="dxa"/>
            <w:tcBorders>
              <w:top w:val="single" w:sz="4" w:space="0" w:color="auto"/>
              <w:left w:val="nil"/>
              <w:bottom w:val="single" w:sz="4" w:space="0" w:color="auto"/>
              <w:right w:val="nil"/>
            </w:tcBorders>
            <w:shd w:val="clear" w:color="auto" w:fill="auto"/>
            <w:noWrap/>
            <w:vAlign w:val="bottom"/>
            <w:hideMark/>
          </w:tcPr>
          <w:p w14:paraId="499A57FF" w14:textId="77777777" w:rsidR="00D749C6" w:rsidRPr="00D749C6" w:rsidRDefault="00D749C6" w:rsidP="00D749C6">
            <w:pPr>
              <w:spacing w:after="0" w:line="240" w:lineRule="auto"/>
              <w:jc w:val="right"/>
              <w:rPr>
                <w:rFonts w:ascii="Tw Cen MT" w:eastAsia="Times New Roman" w:hAnsi="Tw Cen MT" w:cs="Arial"/>
                <w:lang w:bidi="he-IL"/>
              </w:rPr>
            </w:pPr>
            <w:r w:rsidRPr="00D749C6">
              <w:rPr>
                <w:rFonts w:ascii="Tw Cen MT" w:eastAsia="Times New Roman" w:hAnsi="Tw Cen MT" w:cs="Arial"/>
                <w:lang w:bidi="he-IL"/>
              </w:rPr>
              <w:t>---</w:t>
            </w:r>
          </w:p>
        </w:tc>
        <w:tc>
          <w:tcPr>
            <w:tcW w:w="1771" w:type="dxa"/>
            <w:tcBorders>
              <w:top w:val="nil"/>
              <w:left w:val="double" w:sz="6" w:space="0" w:color="auto"/>
              <w:bottom w:val="single" w:sz="4" w:space="0" w:color="auto"/>
              <w:right w:val="single" w:sz="4" w:space="0" w:color="auto"/>
            </w:tcBorders>
            <w:shd w:val="clear" w:color="auto" w:fill="auto"/>
            <w:noWrap/>
            <w:vAlign w:val="bottom"/>
            <w:hideMark/>
          </w:tcPr>
          <w:p w14:paraId="412E9FCA" w14:textId="77777777" w:rsidR="00D749C6" w:rsidRPr="00D749C6" w:rsidRDefault="00D749C6" w:rsidP="00D749C6">
            <w:pPr>
              <w:spacing w:after="0" w:line="240" w:lineRule="auto"/>
              <w:jc w:val="right"/>
              <w:rPr>
                <w:rFonts w:ascii="Tw Cen MT" w:eastAsia="Times New Roman" w:hAnsi="Tw Cen MT" w:cs="Arial"/>
                <w:lang w:bidi="he-IL"/>
              </w:rPr>
            </w:pPr>
            <w:r w:rsidRPr="00D749C6">
              <w:rPr>
                <w:rFonts w:ascii="Tw Cen MT" w:eastAsia="Times New Roman" w:hAnsi="Tw Cen MT" w:cs="Arial"/>
                <w:lang w:bidi="he-IL"/>
              </w:rPr>
              <w:t>---</w:t>
            </w:r>
          </w:p>
        </w:tc>
        <w:tc>
          <w:tcPr>
            <w:tcW w:w="1310" w:type="dxa"/>
            <w:tcBorders>
              <w:top w:val="nil"/>
              <w:left w:val="nil"/>
              <w:bottom w:val="single" w:sz="4" w:space="0" w:color="auto"/>
              <w:right w:val="single" w:sz="4" w:space="0" w:color="auto"/>
            </w:tcBorders>
            <w:shd w:val="clear" w:color="auto" w:fill="auto"/>
            <w:noWrap/>
            <w:vAlign w:val="bottom"/>
            <w:hideMark/>
          </w:tcPr>
          <w:p w14:paraId="34B4CD2B" w14:textId="77777777" w:rsidR="00D749C6" w:rsidRPr="00D749C6" w:rsidRDefault="00D749C6" w:rsidP="00D749C6">
            <w:pPr>
              <w:spacing w:after="0" w:line="240" w:lineRule="auto"/>
              <w:jc w:val="right"/>
              <w:rPr>
                <w:rFonts w:ascii="Tw Cen MT" w:eastAsia="Times New Roman" w:hAnsi="Tw Cen MT" w:cs="Arial"/>
                <w:lang w:bidi="he-IL"/>
              </w:rPr>
            </w:pPr>
            <w:r w:rsidRPr="00D749C6">
              <w:rPr>
                <w:rFonts w:ascii="Tw Cen MT" w:eastAsia="Times New Roman" w:hAnsi="Tw Cen MT" w:cs="Arial"/>
                <w:lang w:bidi="he-IL"/>
              </w:rPr>
              <w:t>---</w:t>
            </w:r>
          </w:p>
        </w:tc>
      </w:tr>
      <w:tr w:rsidR="002928F4" w:rsidRPr="00D749C6" w14:paraId="57E183B0" w14:textId="77777777" w:rsidTr="00863E17">
        <w:trPr>
          <w:trHeight w:val="129"/>
        </w:trPr>
        <w:tc>
          <w:tcPr>
            <w:tcW w:w="3310" w:type="dxa"/>
            <w:tcBorders>
              <w:top w:val="nil"/>
              <w:left w:val="single" w:sz="4" w:space="0" w:color="auto"/>
              <w:bottom w:val="single" w:sz="4" w:space="0" w:color="auto"/>
              <w:right w:val="single" w:sz="4" w:space="0" w:color="auto"/>
            </w:tcBorders>
            <w:shd w:val="clear" w:color="000000" w:fill="66FF99"/>
            <w:vAlign w:val="bottom"/>
            <w:hideMark/>
          </w:tcPr>
          <w:p w14:paraId="1D1B055B" w14:textId="77777777" w:rsidR="00D749C6" w:rsidRPr="00D749C6" w:rsidRDefault="00D749C6" w:rsidP="00D749C6">
            <w:pPr>
              <w:spacing w:after="0" w:line="240" w:lineRule="auto"/>
              <w:rPr>
                <w:rFonts w:ascii="Tw Cen MT" w:eastAsia="Times New Roman" w:hAnsi="Tw Cen MT" w:cs="Arial"/>
                <w:lang w:bidi="he-IL"/>
              </w:rPr>
            </w:pPr>
            <w:r w:rsidRPr="00D749C6">
              <w:rPr>
                <w:rFonts w:ascii="Tw Cen MT" w:eastAsia="Times New Roman" w:hAnsi="Tw Cen MT" w:cs="Arial"/>
                <w:lang w:bidi="he-IL"/>
              </w:rPr>
              <w:t>---Cooperative</w:t>
            </w:r>
          </w:p>
        </w:tc>
        <w:tc>
          <w:tcPr>
            <w:tcW w:w="1758" w:type="dxa"/>
            <w:tcBorders>
              <w:top w:val="nil"/>
              <w:left w:val="nil"/>
              <w:bottom w:val="single" w:sz="4" w:space="0" w:color="auto"/>
              <w:right w:val="single" w:sz="4" w:space="0" w:color="auto"/>
            </w:tcBorders>
            <w:shd w:val="clear" w:color="auto" w:fill="auto"/>
            <w:noWrap/>
            <w:vAlign w:val="bottom"/>
            <w:hideMark/>
          </w:tcPr>
          <w:p w14:paraId="30A925BD" w14:textId="77777777" w:rsidR="00D749C6" w:rsidRPr="00D749C6" w:rsidRDefault="00D749C6" w:rsidP="00D749C6">
            <w:pPr>
              <w:spacing w:after="0" w:line="240" w:lineRule="auto"/>
              <w:jc w:val="right"/>
              <w:rPr>
                <w:rFonts w:ascii="Tw Cen MT" w:eastAsia="Times New Roman" w:hAnsi="Tw Cen MT" w:cs="Arial"/>
                <w:lang w:bidi="he-IL"/>
              </w:rPr>
            </w:pPr>
            <w:r w:rsidRPr="00D749C6">
              <w:rPr>
                <w:rFonts w:ascii="Tw Cen MT" w:eastAsia="Times New Roman" w:hAnsi="Tw Cen MT" w:cs="Arial"/>
                <w:lang w:bidi="he-IL"/>
              </w:rPr>
              <w:t>$1,650,000.00</w:t>
            </w:r>
          </w:p>
        </w:tc>
        <w:tc>
          <w:tcPr>
            <w:tcW w:w="1290" w:type="dxa"/>
            <w:tcBorders>
              <w:top w:val="nil"/>
              <w:left w:val="nil"/>
              <w:bottom w:val="single" w:sz="4" w:space="0" w:color="auto"/>
              <w:right w:val="nil"/>
            </w:tcBorders>
            <w:shd w:val="clear" w:color="000000" w:fill="66FF99"/>
            <w:noWrap/>
            <w:vAlign w:val="bottom"/>
            <w:hideMark/>
          </w:tcPr>
          <w:p w14:paraId="6419878B" w14:textId="77777777" w:rsidR="00D749C6" w:rsidRPr="00D749C6" w:rsidRDefault="00D749C6" w:rsidP="00D749C6">
            <w:pPr>
              <w:spacing w:after="0" w:line="240" w:lineRule="auto"/>
              <w:jc w:val="right"/>
              <w:rPr>
                <w:rFonts w:ascii="Tw Cen MT" w:eastAsia="Times New Roman" w:hAnsi="Tw Cen MT" w:cs="Arial"/>
                <w:lang w:bidi="he-IL"/>
              </w:rPr>
            </w:pPr>
            <w:r w:rsidRPr="00D749C6">
              <w:rPr>
                <w:rFonts w:ascii="Tw Cen MT" w:eastAsia="Times New Roman" w:hAnsi="Tw Cen MT" w:cs="Arial"/>
                <w:lang w:bidi="he-IL"/>
              </w:rPr>
              <w:t>2.20%</w:t>
            </w:r>
          </w:p>
        </w:tc>
        <w:tc>
          <w:tcPr>
            <w:tcW w:w="1771" w:type="dxa"/>
            <w:tcBorders>
              <w:top w:val="nil"/>
              <w:left w:val="double" w:sz="6" w:space="0" w:color="auto"/>
              <w:bottom w:val="single" w:sz="4" w:space="0" w:color="auto"/>
              <w:right w:val="single" w:sz="4" w:space="0" w:color="auto"/>
            </w:tcBorders>
            <w:shd w:val="clear" w:color="000000" w:fill="66FF99"/>
            <w:noWrap/>
            <w:vAlign w:val="bottom"/>
            <w:hideMark/>
          </w:tcPr>
          <w:p w14:paraId="4271CF11" w14:textId="77777777" w:rsidR="00D749C6" w:rsidRPr="00D749C6" w:rsidRDefault="00D749C6" w:rsidP="00D749C6">
            <w:pPr>
              <w:spacing w:after="0" w:line="240" w:lineRule="auto"/>
              <w:jc w:val="right"/>
              <w:rPr>
                <w:rFonts w:ascii="Tw Cen MT" w:eastAsia="Times New Roman" w:hAnsi="Tw Cen MT" w:cs="Arial"/>
                <w:lang w:bidi="he-IL"/>
              </w:rPr>
            </w:pPr>
            <w:r w:rsidRPr="00D749C6">
              <w:rPr>
                <w:rFonts w:ascii="Tw Cen MT" w:eastAsia="Times New Roman" w:hAnsi="Tw Cen MT" w:cs="Arial"/>
                <w:lang w:bidi="he-IL"/>
              </w:rPr>
              <w:t>$1,800,000.00</w:t>
            </w:r>
          </w:p>
        </w:tc>
        <w:tc>
          <w:tcPr>
            <w:tcW w:w="1310" w:type="dxa"/>
            <w:tcBorders>
              <w:top w:val="nil"/>
              <w:left w:val="nil"/>
              <w:bottom w:val="single" w:sz="4" w:space="0" w:color="auto"/>
              <w:right w:val="single" w:sz="4" w:space="0" w:color="auto"/>
            </w:tcBorders>
            <w:shd w:val="clear" w:color="000000" w:fill="66FF99"/>
            <w:noWrap/>
            <w:vAlign w:val="bottom"/>
            <w:hideMark/>
          </w:tcPr>
          <w:p w14:paraId="23218469" w14:textId="77777777" w:rsidR="00D749C6" w:rsidRPr="00D749C6" w:rsidRDefault="00D749C6" w:rsidP="00D749C6">
            <w:pPr>
              <w:spacing w:after="0" w:line="240" w:lineRule="auto"/>
              <w:jc w:val="right"/>
              <w:rPr>
                <w:rFonts w:ascii="Tw Cen MT" w:eastAsia="Times New Roman" w:hAnsi="Tw Cen MT" w:cs="Arial"/>
                <w:lang w:bidi="he-IL"/>
              </w:rPr>
            </w:pPr>
            <w:r w:rsidRPr="00D749C6">
              <w:rPr>
                <w:rFonts w:ascii="Tw Cen MT" w:eastAsia="Times New Roman" w:hAnsi="Tw Cen MT" w:cs="Arial"/>
                <w:lang w:bidi="he-IL"/>
              </w:rPr>
              <w:t>2.31%</w:t>
            </w:r>
          </w:p>
        </w:tc>
      </w:tr>
      <w:tr w:rsidR="002928F4" w:rsidRPr="00D749C6" w14:paraId="3D4D2308" w14:textId="77777777" w:rsidTr="00863E17">
        <w:trPr>
          <w:trHeight w:val="129"/>
        </w:trPr>
        <w:tc>
          <w:tcPr>
            <w:tcW w:w="3310" w:type="dxa"/>
            <w:tcBorders>
              <w:top w:val="nil"/>
              <w:left w:val="single" w:sz="4" w:space="0" w:color="auto"/>
              <w:bottom w:val="single" w:sz="4" w:space="0" w:color="auto"/>
              <w:right w:val="single" w:sz="4" w:space="0" w:color="auto"/>
            </w:tcBorders>
            <w:shd w:val="clear" w:color="000000" w:fill="66FF99"/>
            <w:vAlign w:val="bottom"/>
            <w:hideMark/>
          </w:tcPr>
          <w:p w14:paraId="0185E516" w14:textId="77777777" w:rsidR="00D749C6" w:rsidRPr="00D749C6" w:rsidRDefault="00D749C6" w:rsidP="00D749C6">
            <w:pPr>
              <w:spacing w:after="0" w:line="240" w:lineRule="auto"/>
              <w:rPr>
                <w:rFonts w:ascii="Tw Cen MT" w:eastAsia="Times New Roman" w:hAnsi="Tw Cen MT" w:cs="Arial"/>
                <w:lang w:bidi="he-IL"/>
              </w:rPr>
            </w:pPr>
            <w:r w:rsidRPr="00D749C6">
              <w:rPr>
                <w:rFonts w:ascii="Tw Cen MT" w:eastAsia="Times New Roman" w:hAnsi="Tw Cen MT" w:cs="Arial"/>
                <w:lang w:bidi="he-IL"/>
              </w:rPr>
              <w:t>---Trade</w:t>
            </w:r>
          </w:p>
        </w:tc>
        <w:tc>
          <w:tcPr>
            <w:tcW w:w="1758" w:type="dxa"/>
            <w:tcBorders>
              <w:top w:val="nil"/>
              <w:left w:val="nil"/>
              <w:bottom w:val="single" w:sz="4" w:space="0" w:color="auto"/>
              <w:right w:val="single" w:sz="4" w:space="0" w:color="auto"/>
            </w:tcBorders>
            <w:shd w:val="clear" w:color="auto" w:fill="auto"/>
            <w:noWrap/>
            <w:vAlign w:val="bottom"/>
            <w:hideMark/>
          </w:tcPr>
          <w:p w14:paraId="08B230EC" w14:textId="77777777" w:rsidR="00D749C6" w:rsidRPr="00D749C6" w:rsidRDefault="00D749C6" w:rsidP="00D749C6">
            <w:pPr>
              <w:spacing w:after="0" w:line="240" w:lineRule="auto"/>
              <w:jc w:val="right"/>
              <w:rPr>
                <w:rFonts w:ascii="Tw Cen MT" w:eastAsia="Times New Roman" w:hAnsi="Tw Cen MT" w:cs="Arial"/>
                <w:lang w:bidi="he-IL"/>
              </w:rPr>
            </w:pPr>
            <w:r w:rsidRPr="00D749C6">
              <w:rPr>
                <w:rFonts w:ascii="Tw Cen MT" w:eastAsia="Times New Roman" w:hAnsi="Tw Cen MT" w:cs="Arial"/>
                <w:lang w:bidi="he-IL"/>
              </w:rPr>
              <w:t>$467,000.00</w:t>
            </w:r>
          </w:p>
        </w:tc>
        <w:tc>
          <w:tcPr>
            <w:tcW w:w="1290" w:type="dxa"/>
            <w:tcBorders>
              <w:top w:val="nil"/>
              <w:left w:val="nil"/>
              <w:bottom w:val="single" w:sz="4" w:space="0" w:color="auto"/>
              <w:right w:val="nil"/>
            </w:tcBorders>
            <w:shd w:val="clear" w:color="000000" w:fill="66FF99"/>
            <w:noWrap/>
            <w:vAlign w:val="bottom"/>
            <w:hideMark/>
          </w:tcPr>
          <w:p w14:paraId="370B7C7E" w14:textId="77777777" w:rsidR="00D749C6" w:rsidRPr="00D749C6" w:rsidRDefault="00D749C6" w:rsidP="00D749C6">
            <w:pPr>
              <w:spacing w:after="0" w:line="240" w:lineRule="auto"/>
              <w:jc w:val="right"/>
              <w:rPr>
                <w:rFonts w:ascii="Tw Cen MT" w:eastAsia="Times New Roman" w:hAnsi="Tw Cen MT" w:cs="Arial"/>
                <w:lang w:bidi="he-IL"/>
              </w:rPr>
            </w:pPr>
            <w:r w:rsidRPr="00D749C6">
              <w:rPr>
                <w:rFonts w:ascii="Tw Cen MT" w:eastAsia="Times New Roman" w:hAnsi="Tw Cen MT" w:cs="Arial"/>
                <w:lang w:bidi="he-IL"/>
              </w:rPr>
              <w:t>0.75%</w:t>
            </w:r>
          </w:p>
        </w:tc>
        <w:tc>
          <w:tcPr>
            <w:tcW w:w="1771" w:type="dxa"/>
            <w:tcBorders>
              <w:top w:val="nil"/>
              <w:left w:val="double" w:sz="6" w:space="0" w:color="auto"/>
              <w:bottom w:val="single" w:sz="4" w:space="0" w:color="auto"/>
              <w:right w:val="single" w:sz="4" w:space="0" w:color="auto"/>
            </w:tcBorders>
            <w:shd w:val="clear" w:color="000000" w:fill="66FF99"/>
            <w:noWrap/>
            <w:vAlign w:val="bottom"/>
            <w:hideMark/>
          </w:tcPr>
          <w:p w14:paraId="4EB3B9F0" w14:textId="77777777" w:rsidR="00D749C6" w:rsidRPr="00D749C6" w:rsidRDefault="00D749C6" w:rsidP="00D749C6">
            <w:pPr>
              <w:spacing w:after="0" w:line="240" w:lineRule="auto"/>
              <w:jc w:val="right"/>
              <w:rPr>
                <w:rFonts w:ascii="Tw Cen MT" w:eastAsia="Times New Roman" w:hAnsi="Tw Cen MT" w:cs="Arial"/>
                <w:lang w:bidi="he-IL"/>
              </w:rPr>
            </w:pPr>
            <w:r w:rsidRPr="00D749C6">
              <w:rPr>
                <w:rFonts w:ascii="Tw Cen MT" w:eastAsia="Times New Roman" w:hAnsi="Tw Cen MT" w:cs="Arial"/>
                <w:lang w:bidi="he-IL"/>
              </w:rPr>
              <w:t>$700,000.00</w:t>
            </w:r>
          </w:p>
        </w:tc>
        <w:tc>
          <w:tcPr>
            <w:tcW w:w="1310" w:type="dxa"/>
            <w:tcBorders>
              <w:top w:val="nil"/>
              <w:left w:val="nil"/>
              <w:bottom w:val="single" w:sz="4" w:space="0" w:color="auto"/>
              <w:right w:val="single" w:sz="4" w:space="0" w:color="auto"/>
            </w:tcBorders>
            <w:shd w:val="clear" w:color="000000" w:fill="66FF99"/>
            <w:noWrap/>
            <w:vAlign w:val="bottom"/>
            <w:hideMark/>
          </w:tcPr>
          <w:p w14:paraId="5FF10B58" w14:textId="77777777" w:rsidR="00D749C6" w:rsidRPr="00D749C6" w:rsidRDefault="00D749C6" w:rsidP="00D749C6">
            <w:pPr>
              <w:spacing w:after="0" w:line="240" w:lineRule="auto"/>
              <w:jc w:val="right"/>
              <w:rPr>
                <w:rFonts w:ascii="Tw Cen MT" w:eastAsia="Times New Roman" w:hAnsi="Tw Cen MT" w:cs="Arial"/>
                <w:lang w:bidi="he-IL"/>
              </w:rPr>
            </w:pPr>
            <w:r w:rsidRPr="00D749C6">
              <w:rPr>
                <w:rFonts w:ascii="Tw Cen MT" w:eastAsia="Times New Roman" w:hAnsi="Tw Cen MT" w:cs="Arial"/>
                <w:lang w:bidi="he-IL"/>
              </w:rPr>
              <w:t>0.90%</w:t>
            </w:r>
          </w:p>
        </w:tc>
      </w:tr>
      <w:tr w:rsidR="002928F4" w:rsidRPr="00D749C6" w14:paraId="0D6ACA86" w14:textId="77777777" w:rsidTr="00863E17">
        <w:trPr>
          <w:trHeight w:val="129"/>
        </w:trPr>
        <w:tc>
          <w:tcPr>
            <w:tcW w:w="3310" w:type="dxa"/>
            <w:tcBorders>
              <w:top w:val="nil"/>
              <w:left w:val="single" w:sz="4" w:space="0" w:color="auto"/>
              <w:bottom w:val="single" w:sz="4" w:space="0" w:color="auto"/>
              <w:right w:val="single" w:sz="4" w:space="0" w:color="auto"/>
            </w:tcBorders>
            <w:shd w:val="clear" w:color="000000" w:fill="66FF99"/>
            <w:vAlign w:val="bottom"/>
            <w:hideMark/>
          </w:tcPr>
          <w:p w14:paraId="5345D19B" w14:textId="77777777" w:rsidR="00D749C6" w:rsidRPr="00D749C6" w:rsidRDefault="00D749C6" w:rsidP="00D749C6">
            <w:pPr>
              <w:spacing w:after="0" w:line="240" w:lineRule="auto"/>
              <w:rPr>
                <w:rFonts w:ascii="Tw Cen MT" w:eastAsia="Times New Roman" w:hAnsi="Tw Cen MT" w:cs="Arial"/>
                <w:lang w:bidi="he-IL"/>
              </w:rPr>
            </w:pPr>
            <w:r w:rsidRPr="00D749C6">
              <w:rPr>
                <w:rFonts w:ascii="Tw Cen MT" w:eastAsia="Times New Roman" w:hAnsi="Tw Cen MT" w:cs="Arial"/>
                <w:lang w:bidi="he-IL"/>
              </w:rPr>
              <w:t>---Consumer</w:t>
            </w:r>
          </w:p>
        </w:tc>
        <w:tc>
          <w:tcPr>
            <w:tcW w:w="1758" w:type="dxa"/>
            <w:tcBorders>
              <w:top w:val="nil"/>
              <w:left w:val="nil"/>
              <w:bottom w:val="single" w:sz="4" w:space="0" w:color="auto"/>
              <w:right w:val="single" w:sz="4" w:space="0" w:color="auto"/>
            </w:tcBorders>
            <w:shd w:val="clear" w:color="auto" w:fill="auto"/>
            <w:noWrap/>
            <w:vAlign w:val="bottom"/>
            <w:hideMark/>
          </w:tcPr>
          <w:p w14:paraId="38871022" w14:textId="77777777" w:rsidR="00D749C6" w:rsidRPr="00D749C6" w:rsidRDefault="00D749C6" w:rsidP="00D749C6">
            <w:pPr>
              <w:spacing w:after="0" w:line="240" w:lineRule="auto"/>
              <w:jc w:val="right"/>
              <w:rPr>
                <w:rFonts w:ascii="Tw Cen MT" w:eastAsia="Times New Roman" w:hAnsi="Tw Cen MT" w:cs="Arial"/>
                <w:lang w:bidi="he-IL"/>
              </w:rPr>
            </w:pPr>
            <w:r w:rsidRPr="00D749C6">
              <w:rPr>
                <w:rFonts w:ascii="Tw Cen MT" w:eastAsia="Times New Roman" w:hAnsi="Tw Cen MT" w:cs="Arial"/>
                <w:lang w:bidi="he-IL"/>
              </w:rPr>
              <w:t>$562,500.00</w:t>
            </w:r>
          </w:p>
        </w:tc>
        <w:tc>
          <w:tcPr>
            <w:tcW w:w="1290" w:type="dxa"/>
            <w:tcBorders>
              <w:top w:val="nil"/>
              <w:left w:val="nil"/>
              <w:bottom w:val="single" w:sz="4" w:space="0" w:color="auto"/>
              <w:right w:val="nil"/>
            </w:tcBorders>
            <w:shd w:val="clear" w:color="000000" w:fill="66FF99"/>
            <w:noWrap/>
            <w:vAlign w:val="bottom"/>
            <w:hideMark/>
          </w:tcPr>
          <w:p w14:paraId="3082C69D" w14:textId="77777777" w:rsidR="00D749C6" w:rsidRPr="00D749C6" w:rsidRDefault="00D749C6" w:rsidP="00D749C6">
            <w:pPr>
              <w:spacing w:after="0" w:line="240" w:lineRule="auto"/>
              <w:jc w:val="right"/>
              <w:rPr>
                <w:rFonts w:ascii="Tw Cen MT" w:eastAsia="Times New Roman" w:hAnsi="Tw Cen MT" w:cs="Arial"/>
                <w:lang w:bidi="he-IL"/>
              </w:rPr>
            </w:pPr>
            <w:r w:rsidRPr="00D749C6">
              <w:rPr>
                <w:rFonts w:ascii="Tw Cen MT" w:eastAsia="Times New Roman" w:hAnsi="Tw Cen MT" w:cs="Arial"/>
                <w:lang w:bidi="he-IL"/>
              </w:rPr>
              <w:t>0.75%</w:t>
            </w:r>
          </w:p>
        </w:tc>
        <w:tc>
          <w:tcPr>
            <w:tcW w:w="1771" w:type="dxa"/>
            <w:tcBorders>
              <w:top w:val="nil"/>
              <w:left w:val="double" w:sz="6" w:space="0" w:color="auto"/>
              <w:bottom w:val="single" w:sz="4" w:space="0" w:color="auto"/>
              <w:right w:val="single" w:sz="4" w:space="0" w:color="auto"/>
            </w:tcBorders>
            <w:shd w:val="clear" w:color="000000" w:fill="66FF99"/>
            <w:noWrap/>
            <w:vAlign w:val="bottom"/>
            <w:hideMark/>
          </w:tcPr>
          <w:p w14:paraId="240A3BD8" w14:textId="77777777" w:rsidR="00D749C6" w:rsidRPr="00D749C6" w:rsidRDefault="00D749C6" w:rsidP="00D749C6">
            <w:pPr>
              <w:spacing w:after="0" w:line="240" w:lineRule="auto"/>
              <w:jc w:val="right"/>
              <w:rPr>
                <w:rFonts w:ascii="Tw Cen MT" w:eastAsia="Times New Roman" w:hAnsi="Tw Cen MT" w:cs="Arial"/>
                <w:lang w:bidi="he-IL"/>
              </w:rPr>
            </w:pPr>
            <w:r w:rsidRPr="00D749C6">
              <w:rPr>
                <w:rFonts w:ascii="Tw Cen MT" w:eastAsia="Times New Roman" w:hAnsi="Tw Cen MT" w:cs="Arial"/>
                <w:lang w:bidi="he-IL"/>
              </w:rPr>
              <w:t>$787,500.00</w:t>
            </w:r>
          </w:p>
        </w:tc>
        <w:tc>
          <w:tcPr>
            <w:tcW w:w="1310" w:type="dxa"/>
            <w:tcBorders>
              <w:top w:val="nil"/>
              <w:left w:val="nil"/>
              <w:bottom w:val="single" w:sz="4" w:space="0" w:color="auto"/>
              <w:right w:val="single" w:sz="4" w:space="0" w:color="auto"/>
            </w:tcBorders>
            <w:shd w:val="clear" w:color="000000" w:fill="66FF99"/>
            <w:noWrap/>
            <w:vAlign w:val="bottom"/>
            <w:hideMark/>
          </w:tcPr>
          <w:p w14:paraId="37A699E5" w14:textId="77777777" w:rsidR="00D749C6" w:rsidRPr="00D749C6" w:rsidRDefault="00D749C6" w:rsidP="00D749C6">
            <w:pPr>
              <w:spacing w:after="0" w:line="240" w:lineRule="auto"/>
              <w:jc w:val="right"/>
              <w:rPr>
                <w:rFonts w:ascii="Tw Cen MT" w:eastAsia="Times New Roman" w:hAnsi="Tw Cen MT" w:cs="Arial"/>
                <w:lang w:bidi="he-IL"/>
              </w:rPr>
            </w:pPr>
            <w:r w:rsidRPr="00D749C6">
              <w:rPr>
                <w:rFonts w:ascii="Tw Cen MT" w:eastAsia="Times New Roman" w:hAnsi="Tw Cen MT" w:cs="Arial"/>
                <w:lang w:bidi="he-IL"/>
              </w:rPr>
              <w:t>1.01%</w:t>
            </w:r>
          </w:p>
        </w:tc>
      </w:tr>
      <w:tr w:rsidR="002928F4" w:rsidRPr="00D749C6" w14:paraId="2ACA3E99" w14:textId="77777777" w:rsidTr="00863E17">
        <w:trPr>
          <w:trHeight w:val="129"/>
        </w:trPr>
        <w:tc>
          <w:tcPr>
            <w:tcW w:w="3310" w:type="dxa"/>
            <w:tcBorders>
              <w:top w:val="nil"/>
              <w:left w:val="single" w:sz="4" w:space="0" w:color="auto"/>
              <w:bottom w:val="single" w:sz="4" w:space="0" w:color="auto"/>
              <w:right w:val="single" w:sz="4" w:space="0" w:color="auto"/>
            </w:tcBorders>
            <w:shd w:val="clear" w:color="auto" w:fill="auto"/>
            <w:vAlign w:val="bottom"/>
            <w:hideMark/>
          </w:tcPr>
          <w:p w14:paraId="54E83279" w14:textId="77777777" w:rsidR="00D749C6" w:rsidRPr="00D749C6" w:rsidRDefault="00D749C6" w:rsidP="00D749C6">
            <w:pPr>
              <w:spacing w:after="0" w:line="240" w:lineRule="auto"/>
              <w:rPr>
                <w:rFonts w:ascii="Tw Cen MT" w:eastAsia="Times New Roman" w:hAnsi="Tw Cen MT" w:cs="Arial"/>
                <w:lang w:bidi="he-IL"/>
              </w:rPr>
            </w:pPr>
            <w:r w:rsidRPr="00D749C6">
              <w:rPr>
                <w:rFonts w:ascii="Tw Cen MT" w:eastAsia="Times New Roman" w:hAnsi="Tw Cen MT" w:cs="Arial"/>
                <w:lang w:bidi="he-IL"/>
              </w:rPr>
              <w:t>Sales Promotion</w:t>
            </w:r>
          </w:p>
        </w:tc>
        <w:tc>
          <w:tcPr>
            <w:tcW w:w="1758" w:type="dxa"/>
            <w:tcBorders>
              <w:top w:val="nil"/>
              <w:left w:val="nil"/>
              <w:bottom w:val="single" w:sz="4" w:space="0" w:color="auto"/>
              <w:right w:val="single" w:sz="4" w:space="0" w:color="auto"/>
            </w:tcBorders>
            <w:shd w:val="clear" w:color="auto" w:fill="auto"/>
            <w:noWrap/>
            <w:vAlign w:val="bottom"/>
            <w:hideMark/>
          </w:tcPr>
          <w:p w14:paraId="6AE523D8" w14:textId="77777777" w:rsidR="00D749C6" w:rsidRPr="00D749C6" w:rsidRDefault="00D749C6" w:rsidP="00D749C6">
            <w:pPr>
              <w:spacing w:after="0" w:line="240" w:lineRule="auto"/>
              <w:jc w:val="right"/>
              <w:rPr>
                <w:rFonts w:ascii="Tw Cen MT" w:eastAsia="Times New Roman" w:hAnsi="Tw Cen MT" w:cs="Arial"/>
                <w:lang w:bidi="he-IL"/>
              </w:rPr>
            </w:pPr>
            <w:r w:rsidRPr="00D749C6">
              <w:rPr>
                <w:rFonts w:ascii="Tw Cen MT" w:eastAsia="Times New Roman" w:hAnsi="Tw Cen MT" w:cs="Arial"/>
                <w:lang w:bidi="he-IL"/>
              </w:rPr>
              <w:t>$0.00</w:t>
            </w:r>
          </w:p>
        </w:tc>
        <w:tc>
          <w:tcPr>
            <w:tcW w:w="1290" w:type="dxa"/>
            <w:tcBorders>
              <w:top w:val="nil"/>
              <w:left w:val="nil"/>
              <w:bottom w:val="single" w:sz="4" w:space="0" w:color="auto"/>
              <w:right w:val="nil"/>
            </w:tcBorders>
            <w:shd w:val="clear" w:color="000000" w:fill="66FF99"/>
            <w:noWrap/>
            <w:vAlign w:val="bottom"/>
            <w:hideMark/>
          </w:tcPr>
          <w:p w14:paraId="739D1824" w14:textId="77777777" w:rsidR="00D749C6" w:rsidRPr="00D749C6" w:rsidRDefault="00D749C6" w:rsidP="00D749C6">
            <w:pPr>
              <w:spacing w:after="0" w:line="240" w:lineRule="auto"/>
              <w:jc w:val="right"/>
              <w:rPr>
                <w:rFonts w:ascii="Tw Cen MT" w:eastAsia="Times New Roman" w:hAnsi="Tw Cen MT" w:cs="Arial"/>
                <w:lang w:bidi="he-IL"/>
              </w:rPr>
            </w:pPr>
            <w:r w:rsidRPr="00D749C6">
              <w:rPr>
                <w:rFonts w:ascii="Tw Cen MT" w:eastAsia="Times New Roman" w:hAnsi="Tw Cen MT" w:cs="Arial"/>
                <w:lang w:bidi="he-IL"/>
              </w:rPr>
              <w:t>0.00%</w:t>
            </w:r>
          </w:p>
        </w:tc>
        <w:tc>
          <w:tcPr>
            <w:tcW w:w="1771" w:type="dxa"/>
            <w:tcBorders>
              <w:top w:val="nil"/>
              <w:left w:val="double" w:sz="6" w:space="0" w:color="auto"/>
              <w:bottom w:val="single" w:sz="4" w:space="0" w:color="auto"/>
              <w:right w:val="single" w:sz="4" w:space="0" w:color="auto"/>
            </w:tcBorders>
            <w:shd w:val="clear" w:color="000000" w:fill="66FF99"/>
            <w:noWrap/>
            <w:vAlign w:val="bottom"/>
            <w:hideMark/>
          </w:tcPr>
          <w:p w14:paraId="6CB414E3" w14:textId="77777777" w:rsidR="00D749C6" w:rsidRPr="00D749C6" w:rsidRDefault="00D749C6" w:rsidP="00D749C6">
            <w:pPr>
              <w:spacing w:after="0" w:line="240" w:lineRule="auto"/>
              <w:jc w:val="right"/>
              <w:rPr>
                <w:rFonts w:ascii="Tw Cen MT" w:eastAsia="Times New Roman" w:hAnsi="Tw Cen MT" w:cs="Arial"/>
                <w:lang w:bidi="he-IL"/>
              </w:rPr>
            </w:pPr>
            <w:r w:rsidRPr="00D749C6">
              <w:rPr>
                <w:rFonts w:ascii="Tw Cen MT" w:eastAsia="Times New Roman" w:hAnsi="Tw Cen MT" w:cs="Arial"/>
                <w:lang w:bidi="he-IL"/>
              </w:rPr>
              <w:t>$400,000.00</w:t>
            </w:r>
          </w:p>
        </w:tc>
        <w:tc>
          <w:tcPr>
            <w:tcW w:w="1310" w:type="dxa"/>
            <w:tcBorders>
              <w:top w:val="nil"/>
              <w:left w:val="nil"/>
              <w:bottom w:val="single" w:sz="4" w:space="0" w:color="auto"/>
              <w:right w:val="single" w:sz="4" w:space="0" w:color="auto"/>
            </w:tcBorders>
            <w:shd w:val="clear" w:color="000000" w:fill="66FF99"/>
            <w:noWrap/>
            <w:vAlign w:val="bottom"/>
            <w:hideMark/>
          </w:tcPr>
          <w:p w14:paraId="53923363" w14:textId="77777777" w:rsidR="00D749C6" w:rsidRPr="00D749C6" w:rsidRDefault="00D749C6" w:rsidP="00D749C6">
            <w:pPr>
              <w:spacing w:after="0" w:line="240" w:lineRule="auto"/>
              <w:jc w:val="right"/>
              <w:rPr>
                <w:rFonts w:ascii="Tw Cen MT" w:eastAsia="Times New Roman" w:hAnsi="Tw Cen MT" w:cs="Arial"/>
                <w:lang w:bidi="he-IL"/>
              </w:rPr>
            </w:pPr>
            <w:r w:rsidRPr="00D749C6">
              <w:rPr>
                <w:rFonts w:ascii="Tw Cen MT" w:eastAsia="Times New Roman" w:hAnsi="Tw Cen MT" w:cs="Arial"/>
                <w:lang w:bidi="he-IL"/>
              </w:rPr>
              <w:t>0.51%</w:t>
            </w:r>
          </w:p>
        </w:tc>
      </w:tr>
      <w:tr w:rsidR="002928F4" w:rsidRPr="00D749C6" w14:paraId="478DD26D" w14:textId="77777777" w:rsidTr="00863E17">
        <w:trPr>
          <w:trHeight w:val="129"/>
        </w:trPr>
        <w:tc>
          <w:tcPr>
            <w:tcW w:w="3310" w:type="dxa"/>
            <w:tcBorders>
              <w:top w:val="nil"/>
              <w:left w:val="single" w:sz="4" w:space="0" w:color="auto"/>
              <w:bottom w:val="single" w:sz="4" w:space="0" w:color="auto"/>
              <w:right w:val="single" w:sz="4" w:space="0" w:color="auto"/>
            </w:tcBorders>
            <w:shd w:val="clear" w:color="auto" w:fill="auto"/>
            <w:vAlign w:val="bottom"/>
            <w:hideMark/>
          </w:tcPr>
          <w:p w14:paraId="2BD0410F" w14:textId="77777777" w:rsidR="00D749C6" w:rsidRPr="00D749C6" w:rsidRDefault="00D749C6" w:rsidP="00D749C6">
            <w:pPr>
              <w:spacing w:after="0" w:line="240" w:lineRule="auto"/>
              <w:rPr>
                <w:rFonts w:ascii="Tw Cen MT" w:eastAsia="Times New Roman" w:hAnsi="Tw Cen MT" w:cs="Arial"/>
                <w:lang w:bidi="he-IL"/>
              </w:rPr>
            </w:pPr>
            <w:r w:rsidRPr="00D749C6">
              <w:rPr>
                <w:rFonts w:ascii="Tw Cen MT" w:eastAsia="Times New Roman" w:hAnsi="Tw Cen MT" w:cs="Arial"/>
                <w:lang w:bidi="he-IL"/>
              </w:rPr>
              <w:t>Public Relations</w:t>
            </w:r>
          </w:p>
        </w:tc>
        <w:tc>
          <w:tcPr>
            <w:tcW w:w="1758" w:type="dxa"/>
            <w:tcBorders>
              <w:top w:val="nil"/>
              <w:left w:val="nil"/>
              <w:bottom w:val="single" w:sz="4" w:space="0" w:color="auto"/>
              <w:right w:val="single" w:sz="4" w:space="0" w:color="auto"/>
            </w:tcBorders>
            <w:shd w:val="clear" w:color="auto" w:fill="auto"/>
            <w:noWrap/>
            <w:vAlign w:val="bottom"/>
            <w:hideMark/>
          </w:tcPr>
          <w:p w14:paraId="6F5CAF3E" w14:textId="77777777" w:rsidR="00D749C6" w:rsidRPr="00D749C6" w:rsidRDefault="00D749C6" w:rsidP="00D749C6">
            <w:pPr>
              <w:spacing w:after="0" w:line="240" w:lineRule="auto"/>
              <w:jc w:val="right"/>
              <w:rPr>
                <w:rFonts w:ascii="Tw Cen MT" w:eastAsia="Times New Roman" w:hAnsi="Tw Cen MT" w:cs="Arial"/>
                <w:lang w:bidi="he-IL"/>
              </w:rPr>
            </w:pPr>
            <w:r w:rsidRPr="00D749C6">
              <w:rPr>
                <w:rFonts w:ascii="Tw Cen MT" w:eastAsia="Times New Roman" w:hAnsi="Tw Cen MT" w:cs="Arial"/>
                <w:lang w:bidi="he-IL"/>
              </w:rPr>
              <w:t>$0.00</w:t>
            </w:r>
          </w:p>
        </w:tc>
        <w:tc>
          <w:tcPr>
            <w:tcW w:w="1290" w:type="dxa"/>
            <w:tcBorders>
              <w:top w:val="nil"/>
              <w:left w:val="nil"/>
              <w:bottom w:val="single" w:sz="4" w:space="0" w:color="auto"/>
              <w:right w:val="nil"/>
            </w:tcBorders>
            <w:shd w:val="clear" w:color="000000" w:fill="66FF99"/>
            <w:noWrap/>
            <w:vAlign w:val="bottom"/>
            <w:hideMark/>
          </w:tcPr>
          <w:p w14:paraId="51BBD2B6" w14:textId="77777777" w:rsidR="00D749C6" w:rsidRPr="00D749C6" w:rsidRDefault="00D749C6" w:rsidP="00D749C6">
            <w:pPr>
              <w:spacing w:after="0" w:line="240" w:lineRule="auto"/>
              <w:jc w:val="right"/>
              <w:rPr>
                <w:rFonts w:ascii="Tw Cen MT" w:eastAsia="Times New Roman" w:hAnsi="Tw Cen MT" w:cs="Arial"/>
                <w:lang w:bidi="he-IL"/>
              </w:rPr>
            </w:pPr>
            <w:r w:rsidRPr="00D749C6">
              <w:rPr>
                <w:rFonts w:ascii="Tw Cen MT" w:eastAsia="Times New Roman" w:hAnsi="Tw Cen MT" w:cs="Arial"/>
                <w:lang w:bidi="he-IL"/>
              </w:rPr>
              <w:t>0.00%</w:t>
            </w:r>
          </w:p>
        </w:tc>
        <w:tc>
          <w:tcPr>
            <w:tcW w:w="1771" w:type="dxa"/>
            <w:tcBorders>
              <w:top w:val="nil"/>
              <w:left w:val="double" w:sz="6" w:space="0" w:color="auto"/>
              <w:bottom w:val="single" w:sz="4" w:space="0" w:color="auto"/>
              <w:right w:val="single" w:sz="4" w:space="0" w:color="auto"/>
            </w:tcBorders>
            <w:shd w:val="clear" w:color="000000" w:fill="66FF99"/>
            <w:noWrap/>
            <w:vAlign w:val="bottom"/>
            <w:hideMark/>
          </w:tcPr>
          <w:p w14:paraId="2D8F6D41" w14:textId="77777777" w:rsidR="00D749C6" w:rsidRPr="00D749C6" w:rsidRDefault="00D749C6" w:rsidP="00D749C6">
            <w:pPr>
              <w:spacing w:after="0" w:line="240" w:lineRule="auto"/>
              <w:jc w:val="right"/>
              <w:rPr>
                <w:rFonts w:ascii="Tw Cen MT" w:eastAsia="Times New Roman" w:hAnsi="Tw Cen MT" w:cs="Arial"/>
                <w:lang w:bidi="he-IL"/>
              </w:rPr>
            </w:pPr>
            <w:r w:rsidRPr="00D749C6">
              <w:rPr>
                <w:rFonts w:ascii="Tw Cen MT" w:eastAsia="Times New Roman" w:hAnsi="Tw Cen MT" w:cs="Arial"/>
                <w:lang w:bidi="he-IL"/>
              </w:rPr>
              <w:t>$100,000.00</w:t>
            </w:r>
          </w:p>
        </w:tc>
        <w:tc>
          <w:tcPr>
            <w:tcW w:w="1310" w:type="dxa"/>
            <w:tcBorders>
              <w:top w:val="nil"/>
              <w:left w:val="nil"/>
              <w:bottom w:val="single" w:sz="4" w:space="0" w:color="auto"/>
              <w:right w:val="single" w:sz="4" w:space="0" w:color="auto"/>
            </w:tcBorders>
            <w:shd w:val="clear" w:color="000000" w:fill="66FF99"/>
            <w:noWrap/>
            <w:vAlign w:val="bottom"/>
            <w:hideMark/>
          </w:tcPr>
          <w:p w14:paraId="725F27FC" w14:textId="77777777" w:rsidR="00D749C6" w:rsidRPr="00D749C6" w:rsidRDefault="00D749C6" w:rsidP="00D749C6">
            <w:pPr>
              <w:spacing w:after="0" w:line="240" w:lineRule="auto"/>
              <w:jc w:val="right"/>
              <w:rPr>
                <w:rFonts w:ascii="Tw Cen MT" w:eastAsia="Times New Roman" w:hAnsi="Tw Cen MT" w:cs="Arial"/>
                <w:lang w:bidi="he-IL"/>
              </w:rPr>
            </w:pPr>
            <w:r w:rsidRPr="00D749C6">
              <w:rPr>
                <w:rFonts w:ascii="Tw Cen MT" w:eastAsia="Times New Roman" w:hAnsi="Tw Cen MT" w:cs="Arial"/>
                <w:lang w:bidi="he-IL"/>
              </w:rPr>
              <w:t>0.13%</w:t>
            </w:r>
          </w:p>
        </w:tc>
      </w:tr>
      <w:tr w:rsidR="002928F4" w:rsidRPr="00D749C6" w14:paraId="1033A143" w14:textId="77777777" w:rsidTr="00863E17">
        <w:trPr>
          <w:trHeight w:val="129"/>
        </w:trPr>
        <w:tc>
          <w:tcPr>
            <w:tcW w:w="3310" w:type="dxa"/>
            <w:tcBorders>
              <w:top w:val="nil"/>
              <w:left w:val="single" w:sz="4" w:space="0" w:color="auto"/>
              <w:bottom w:val="single" w:sz="4" w:space="0" w:color="auto"/>
              <w:right w:val="single" w:sz="4" w:space="0" w:color="auto"/>
            </w:tcBorders>
            <w:shd w:val="clear" w:color="auto" w:fill="auto"/>
            <w:vAlign w:val="bottom"/>
            <w:hideMark/>
          </w:tcPr>
          <w:p w14:paraId="26CE7E62" w14:textId="77777777" w:rsidR="00D749C6" w:rsidRPr="00D749C6" w:rsidRDefault="00D749C6" w:rsidP="00863E17">
            <w:pPr>
              <w:spacing w:after="0" w:line="240" w:lineRule="auto"/>
              <w:jc w:val="right"/>
              <w:rPr>
                <w:rFonts w:ascii="Tw Cen MT" w:eastAsia="Times New Roman" w:hAnsi="Tw Cen MT" w:cs="Arial"/>
                <w:lang w:bidi="he-IL"/>
              </w:rPr>
            </w:pPr>
            <w:r w:rsidRPr="00D749C6">
              <w:rPr>
                <w:rFonts w:ascii="Tw Cen MT" w:eastAsia="Times New Roman" w:hAnsi="Tw Cen MT" w:cs="Arial"/>
                <w:lang w:bidi="he-IL"/>
              </w:rPr>
              <w:t>Total</w:t>
            </w:r>
          </w:p>
        </w:tc>
        <w:tc>
          <w:tcPr>
            <w:tcW w:w="1758" w:type="dxa"/>
            <w:tcBorders>
              <w:top w:val="nil"/>
              <w:left w:val="nil"/>
              <w:bottom w:val="single" w:sz="4" w:space="0" w:color="auto"/>
              <w:right w:val="single" w:sz="4" w:space="0" w:color="auto"/>
            </w:tcBorders>
            <w:shd w:val="clear" w:color="auto" w:fill="auto"/>
            <w:noWrap/>
            <w:vAlign w:val="bottom"/>
            <w:hideMark/>
          </w:tcPr>
          <w:p w14:paraId="5AD346D3" w14:textId="77777777" w:rsidR="00D749C6" w:rsidRPr="00D749C6" w:rsidRDefault="00D749C6" w:rsidP="00D749C6">
            <w:pPr>
              <w:spacing w:after="0" w:line="240" w:lineRule="auto"/>
              <w:jc w:val="right"/>
              <w:rPr>
                <w:rFonts w:ascii="Tw Cen MT" w:eastAsia="Times New Roman" w:hAnsi="Tw Cen MT" w:cs="Arial"/>
                <w:lang w:bidi="he-IL"/>
              </w:rPr>
            </w:pPr>
            <w:r w:rsidRPr="00D749C6">
              <w:rPr>
                <w:rFonts w:ascii="Tw Cen MT" w:eastAsia="Times New Roman" w:hAnsi="Tw Cen MT" w:cs="Arial"/>
                <w:lang w:bidi="he-IL"/>
              </w:rPr>
              <w:t>$3,675,000.00</w:t>
            </w:r>
          </w:p>
        </w:tc>
        <w:tc>
          <w:tcPr>
            <w:tcW w:w="1290" w:type="dxa"/>
            <w:tcBorders>
              <w:top w:val="nil"/>
              <w:left w:val="nil"/>
              <w:bottom w:val="single" w:sz="4" w:space="0" w:color="auto"/>
              <w:right w:val="nil"/>
            </w:tcBorders>
            <w:shd w:val="clear" w:color="auto" w:fill="auto"/>
            <w:noWrap/>
            <w:vAlign w:val="bottom"/>
            <w:hideMark/>
          </w:tcPr>
          <w:p w14:paraId="7650E298" w14:textId="77777777" w:rsidR="00D749C6" w:rsidRPr="00D749C6" w:rsidRDefault="00D749C6" w:rsidP="00D749C6">
            <w:pPr>
              <w:spacing w:after="0" w:line="240" w:lineRule="auto"/>
              <w:jc w:val="right"/>
              <w:rPr>
                <w:rFonts w:ascii="Tw Cen MT" w:eastAsia="Times New Roman" w:hAnsi="Tw Cen MT" w:cs="Arial"/>
                <w:lang w:bidi="he-IL"/>
              </w:rPr>
            </w:pPr>
            <w:r w:rsidRPr="00D749C6">
              <w:rPr>
                <w:rFonts w:ascii="Tw Cen MT" w:eastAsia="Times New Roman" w:hAnsi="Tw Cen MT" w:cs="Arial"/>
                <w:lang w:bidi="he-IL"/>
              </w:rPr>
              <w:t>4.9%</w:t>
            </w:r>
          </w:p>
        </w:tc>
        <w:tc>
          <w:tcPr>
            <w:tcW w:w="1771" w:type="dxa"/>
            <w:tcBorders>
              <w:top w:val="nil"/>
              <w:left w:val="double" w:sz="6" w:space="0" w:color="auto"/>
              <w:bottom w:val="single" w:sz="4" w:space="0" w:color="auto"/>
              <w:right w:val="single" w:sz="4" w:space="0" w:color="auto"/>
            </w:tcBorders>
            <w:shd w:val="clear" w:color="auto" w:fill="auto"/>
            <w:noWrap/>
            <w:vAlign w:val="bottom"/>
            <w:hideMark/>
          </w:tcPr>
          <w:p w14:paraId="1811C82C" w14:textId="77777777" w:rsidR="00D749C6" w:rsidRPr="00D749C6" w:rsidRDefault="00D749C6" w:rsidP="00D749C6">
            <w:pPr>
              <w:spacing w:after="0" w:line="240" w:lineRule="auto"/>
              <w:jc w:val="right"/>
              <w:rPr>
                <w:rFonts w:ascii="Tw Cen MT" w:eastAsia="Times New Roman" w:hAnsi="Tw Cen MT" w:cs="Arial"/>
                <w:lang w:bidi="he-IL"/>
              </w:rPr>
            </w:pPr>
            <w:r w:rsidRPr="00D749C6">
              <w:rPr>
                <w:rFonts w:ascii="Tw Cen MT" w:eastAsia="Times New Roman" w:hAnsi="Tw Cen MT" w:cs="Arial"/>
                <w:lang w:bidi="he-IL"/>
              </w:rPr>
              <w:t>$3,837,500.00</w:t>
            </w:r>
          </w:p>
        </w:tc>
        <w:tc>
          <w:tcPr>
            <w:tcW w:w="1310" w:type="dxa"/>
            <w:tcBorders>
              <w:top w:val="nil"/>
              <w:left w:val="nil"/>
              <w:bottom w:val="single" w:sz="4" w:space="0" w:color="auto"/>
              <w:right w:val="single" w:sz="4" w:space="0" w:color="auto"/>
            </w:tcBorders>
            <w:shd w:val="clear" w:color="000000" w:fill="66FF99"/>
            <w:noWrap/>
            <w:vAlign w:val="bottom"/>
            <w:hideMark/>
          </w:tcPr>
          <w:p w14:paraId="7D3909A3" w14:textId="77777777" w:rsidR="00D749C6" w:rsidRPr="00D749C6" w:rsidRDefault="00D749C6" w:rsidP="00D749C6">
            <w:pPr>
              <w:spacing w:after="0" w:line="240" w:lineRule="auto"/>
              <w:jc w:val="right"/>
              <w:rPr>
                <w:rFonts w:ascii="Tw Cen MT" w:eastAsia="Times New Roman" w:hAnsi="Tw Cen MT" w:cs="Arial"/>
                <w:lang w:bidi="he-IL"/>
              </w:rPr>
            </w:pPr>
            <w:r w:rsidRPr="00D749C6">
              <w:rPr>
                <w:rFonts w:ascii="Tw Cen MT" w:eastAsia="Times New Roman" w:hAnsi="Tw Cen MT" w:cs="Arial"/>
                <w:lang w:bidi="he-IL"/>
              </w:rPr>
              <w:t>4.9%</w:t>
            </w:r>
          </w:p>
        </w:tc>
      </w:tr>
      <w:tr w:rsidR="002928F4" w:rsidRPr="00D749C6" w14:paraId="2EAA0723" w14:textId="77777777" w:rsidTr="00863E17">
        <w:trPr>
          <w:trHeight w:val="129"/>
        </w:trPr>
        <w:tc>
          <w:tcPr>
            <w:tcW w:w="3310" w:type="dxa"/>
            <w:tcBorders>
              <w:top w:val="nil"/>
              <w:left w:val="single" w:sz="4" w:space="0" w:color="auto"/>
              <w:bottom w:val="single" w:sz="4" w:space="0" w:color="auto"/>
              <w:right w:val="single" w:sz="4" w:space="0" w:color="auto"/>
            </w:tcBorders>
            <w:shd w:val="clear" w:color="000000" w:fill="66FF99"/>
            <w:vAlign w:val="bottom"/>
            <w:hideMark/>
          </w:tcPr>
          <w:p w14:paraId="27BE424F" w14:textId="77777777" w:rsidR="00D749C6" w:rsidRPr="00D749C6" w:rsidRDefault="00D749C6" w:rsidP="00D749C6">
            <w:pPr>
              <w:spacing w:after="0" w:line="240" w:lineRule="auto"/>
              <w:rPr>
                <w:rFonts w:ascii="Tw Cen MT" w:eastAsia="Times New Roman" w:hAnsi="Tw Cen MT" w:cs="Arial"/>
                <w:lang w:bidi="he-IL"/>
              </w:rPr>
            </w:pPr>
            <w:r w:rsidRPr="00D749C6">
              <w:rPr>
                <w:rFonts w:ascii="Tw Cen MT" w:eastAsia="Times New Roman" w:hAnsi="Tw Cen MT" w:cs="Arial"/>
                <w:lang w:bidi="he-IL"/>
              </w:rPr>
              <w:t>Revenue</w:t>
            </w:r>
          </w:p>
        </w:tc>
        <w:tc>
          <w:tcPr>
            <w:tcW w:w="1758" w:type="dxa"/>
            <w:tcBorders>
              <w:top w:val="nil"/>
              <w:left w:val="nil"/>
              <w:bottom w:val="single" w:sz="4" w:space="0" w:color="auto"/>
              <w:right w:val="single" w:sz="4" w:space="0" w:color="auto"/>
            </w:tcBorders>
            <w:shd w:val="clear" w:color="auto" w:fill="auto"/>
            <w:noWrap/>
            <w:vAlign w:val="bottom"/>
            <w:hideMark/>
          </w:tcPr>
          <w:p w14:paraId="4902A8AA" w14:textId="77777777" w:rsidR="00D749C6" w:rsidRPr="00D749C6" w:rsidRDefault="00D749C6" w:rsidP="00D749C6">
            <w:pPr>
              <w:spacing w:after="0" w:line="240" w:lineRule="auto"/>
              <w:jc w:val="right"/>
              <w:rPr>
                <w:rFonts w:ascii="Tw Cen MT" w:eastAsia="Times New Roman" w:hAnsi="Tw Cen MT" w:cs="Arial"/>
                <w:lang w:bidi="he-IL"/>
              </w:rPr>
            </w:pPr>
            <w:r w:rsidRPr="00D749C6">
              <w:rPr>
                <w:rFonts w:ascii="Tw Cen MT" w:eastAsia="Times New Roman" w:hAnsi="Tw Cen MT" w:cs="Arial"/>
                <w:lang w:bidi="he-IL"/>
              </w:rPr>
              <w:t>75,000,000</w:t>
            </w:r>
          </w:p>
        </w:tc>
        <w:tc>
          <w:tcPr>
            <w:tcW w:w="1290" w:type="dxa"/>
            <w:tcBorders>
              <w:top w:val="nil"/>
              <w:left w:val="nil"/>
              <w:bottom w:val="single" w:sz="4" w:space="0" w:color="auto"/>
              <w:right w:val="nil"/>
            </w:tcBorders>
            <w:shd w:val="clear" w:color="auto" w:fill="auto"/>
            <w:noWrap/>
            <w:vAlign w:val="bottom"/>
            <w:hideMark/>
          </w:tcPr>
          <w:p w14:paraId="060D650B" w14:textId="77777777" w:rsidR="00D749C6" w:rsidRPr="00D749C6" w:rsidRDefault="00D749C6" w:rsidP="00D749C6">
            <w:pPr>
              <w:spacing w:after="0" w:line="240" w:lineRule="auto"/>
              <w:jc w:val="right"/>
              <w:rPr>
                <w:rFonts w:ascii="Tw Cen MT" w:eastAsia="Times New Roman" w:hAnsi="Tw Cen MT" w:cs="Arial"/>
                <w:lang w:bidi="he-IL"/>
              </w:rPr>
            </w:pPr>
            <w:r w:rsidRPr="00D749C6">
              <w:rPr>
                <w:rFonts w:ascii="Tw Cen MT" w:eastAsia="Times New Roman" w:hAnsi="Tw Cen MT" w:cs="Arial"/>
                <w:lang w:bidi="he-IL"/>
              </w:rPr>
              <w:t>100.0%</w:t>
            </w:r>
          </w:p>
        </w:tc>
        <w:tc>
          <w:tcPr>
            <w:tcW w:w="1771" w:type="dxa"/>
            <w:tcBorders>
              <w:top w:val="nil"/>
              <w:left w:val="double" w:sz="6" w:space="0" w:color="auto"/>
              <w:bottom w:val="single" w:sz="4" w:space="0" w:color="auto"/>
              <w:right w:val="single" w:sz="4" w:space="0" w:color="auto"/>
            </w:tcBorders>
            <w:shd w:val="clear" w:color="000000" w:fill="66FF99"/>
            <w:noWrap/>
            <w:vAlign w:val="bottom"/>
            <w:hideMark/>
          </w:tcPr>
          <w:p w14:paraId="4AE9FDF5" w14:textId="77777777" w:rsidR="00D749C6" w:rsidRPr="00D749C6" w:rsidRDefault="00D749C6" w:rsidP="00D749C6">
            <w:pPr>
              <w:spacing w:after="0" w:line="240" w:lineRule="auto"/>
              <w:jc w:val="right"/>
              <w:rPr>
                <w:rFonts w:ascii="Tw Cen MT" w:eastAsia="Times New Roman" w:hAnsi="Tw Cen MT" w:cs="Arial"/>
                <w:lang w:bidi="he-IL"/>
              </w:rPr>
            </w:pPr>
            <w:r w:rsidRPr="00D749C6">
              <w:rPr>
                <w:rFonts w:ascii="Tw Cen MT" w:eastAsia="Times New Roman" w:hAnsi="Tw Cen MT" w:cs="Arial"/>
                <w:lang w:bidi="he-IL"/>
              </w:rPr>
              <w:t>78,000,000</w:t>
            </w:r>
          </w:p>
        </w:tc>
        <w:tc>
          <w:tcPr>
            <w:tcW w:w="1310" w:type="dxa"/>
            <w:tcBorders>
              <w:top w:val="nil"/>
              <w:left w:val="nil"/>
              <w:bottom w:val="single" w:sz="4" w:space="0" w:color="auto"/>
              <w:right w:val="single" w:sz="4" w:space="0" w:color="auto"/>
            </w:tcBorders>
            <w:shd w:val="clear" w:color="000000" w:fill="66FF99"/>
            <w:noWrap/>
            <w:vAlign w:val="bottom"/>
            <w:hideMark/>
          </w:tcPr>
          <w:p w14:paraId="0DC08B3B" w14:textId="77777777" w:rsidR="00D749C6" w:rsidRPr="00D749C6" w:rsidRDefault="00D749C6" w:rsidP="00D749C6">
            <w:pPr>
              <w:spacing w:after="0" w:line="240" w:lineRule="auto"/>
              <w:jc w:val="right"/>
              <w:rPr>
                <w:rFonts w:ascii="Tw Cen MT" w:eastAsia="Times New Roman" w:hAnsi="Tw Cen MT" w:cs="Arial"/>
                <w:lang w:bidi="he-IL"/>
              </w:rPr>
            </w:pPr>
            <w:r w:rsidRPr="00D749C6">
              <w:rPr>
                <w:rFonts w:ascii="Tw Cen MT" w:eastAsia="Times New Roman" w:hAnsi="Tw Cen MT" w:cs="Arial"/>
                <w:lang w:bidi="he-IL"/>
              </w:rPr>
              <w:t>100.00%</w:t>
            </w:r>
          </w:p>
        </w:tc>
      </w:tr>
    </w:tbl>
    <w:p w14:paraId="4BE0A61A" w14:textId="77777777" w:rsidR="00D749C6" w:rsidRDefault="00D749C6" w:rsidP="004A4545">
      <w:pPr>
        <w:spacing w:line="480" w:lineRule="auto"/>
        <w:rPr>
          <w:u w:val="single"/>
        </w:rPr>
      </w:pPr>
    </w:p>
    <w:p w14:paraId="04510BDD" w14:textId="77777777" w:rsidR="00D749C6" w:rsidRPr="00D749C6" w:rsidRDefault="00D749C6" w:rsidP="00863E17">
      <w:pPr>
        <w:pStyle w:val="ListParagraph"/>
        <w:numPr>
          <w:ilvl w:val="0"/>
          <w:numId w:val="3"/>
        </w:numPr>
        <w:spacing w:line="360" w:lineRule="auto"/>
      </w:pPr>
      <w:proofErr w:type="spellStart"/>
      <w:r w:rsidRPr="00D749C6">
        <w:t>Haverwood’s</w:t>
      </w:r>
      <w:proofErr w:type="spellEnd"/>
      <w:r w:rsidRPr="00D749C6">
        <w:t xml:space="preserve"> budget for consumer advertising in 2007 was $5</w:t>
      </w:r>
      <w:r w:rsidR="00863E17">
        <w:t>62,500. An increase of $225,000 to better target the target market.</w:t>
      </w:r>
    </w:p>
    <w:p w14:paraId="3440DDA6" w14:textId="77777777" w:rsidR="00D749C6" w:rsidRPr="00D749C6" w:rsidRDefault="00D749C6" w:rsidP="00863E17">
      <w:pPr>
        <w:pStyle w:val="ListParagraph"/>
        <w:numPr>
          <w:ilvl w:val="0"/>
          <w:numId w:val="3"/>
        </w:numPr>
        <w:spacing w:line="360" w:lineRule="auto"/>
      </w:pPr>
      <w:r w:rsidRPr="00D749C6">
        <w:t>The fastest growing age demographic in the US is the 45-65 range in which saw a 31.5% increase. This also happens to be the largest spending groups when it comes to furniture sales in the US.</w:t>
      </w:r>
    </w:p>
    <w:p w14:paraId="37840445" w14:textId="77777777" w:rsidR="00D749C6" w:rsidRDefault="00D749C6" w:rsidP="00863E17">
      <w:pPr>
        <w:pStyle w:val="ListParagraph"/>
        <w:numPr>
          <w:ilvl w:val="0"/>
          <w:numId w:val="3"/>
        </w:numPr>
        <w:spacing w:line="360" w:lineRule="auto"/>
        <w:rPr>
          <w:lang w:bidi="he-IL"/>
        </w:rPr>
      </w:pPr>
      <w:r w:rsidRPr="00D749C6">
        <w:rPr>
          <w:lang w:bidi="he-IL"/>
        </w:rPr>
        <w:t>An increase in consumer marketing through the shelter magazines would help reach those consumers not avid internet users.</w:t>
      </w:r>
    </w:p>
    <w:p w14:paraId="5EA4922C" w14:textId="77777777" w:rsidR="00D749C6" w:rsidRPr="00D749C6" w:rsidRDefault="00D749C6" w:rsidP="00863E17">
      <w:pPr>
        <w:pStyle w:val="ListParagraph"/>
        <w:numPr>
          <w:ilvl w:val="0"/>
          <w:numId w:val="3"/>
        </w:numPr>
        <w:spacing w:line="360" w:lineRule="auto"/>
        <w:rPr>
          <w:lang w:bidi="he-IL"/>
        </w:rPr>
      </w:pPr>
      <w:r>
        <w:rPr>
          <w:lang w:bidi="he-IL"/>
        </w:rPr>
        <w:t>Projected revenue for 2008 is predicted to climb by 4 percent.</w:t>
      </w:r>
    </w:p>
    <w:sdt>
      <w:sdtPr>
        <w:rPr>
          <w:rFonts w:asciiTheme="minorHAnsi" w:eastAsiaTheme="minorHAnsi" w:hAnsiTheme="minorHAnsi" w:cstheme="minorBidi"/>
          <w:color w:val="auto"/>
          <w:sz w:val="22"/>
          <w:szCs w:val="22"/>
        </w:rPr>
        <w:id w:val="1282616607"/>
        <w:docPartObj>
          <w:docPartGallery w:val="Bibliographies"/>
          <w:docPartUnique/>
        </w:docPartObj>
      </w:sdtPr>
      <w:sdtEndPr/>
      <w:sdtContent>
        <w:p w14:paraId="6A888A48" w14:textId="77777777" w:rsidR="004A4545" w:rsidRDefault="004A4545" w:rsidP="004A4545">
          <w:pPr>
            <w:pStyle w:val="Heading1"/>
            <w:spacing w:line="480" w:lineRule="auto"/>
          </w:pPr>
          <w:r>
            <w:t>References</w:t>
          </w:r>
        </w:p>
        <w:sdt>
          <w:sdtPr>
            <w:id w:val="-573587230"/>
            <w:bibliography/>
          </w:sdtPr>
          <w:sdtEndPr/>
          <w:sdtContent>
            <w:p w14:paraId="132DE65E" w14:textId="77777777" w:rsidR="00863E17" w:rsidRDefault="00F731BA" w:rsidP="00863E17">
              <w:pPr>
                <w:pStyle w:val="Bibliography"/>
                <w:ind w:left="720" w:hanging="720"/>
                <w:rPr>
                  <w:noProof/>
                </w:rPr>
              </w:pPr>
              <w:r>
                <w:fldChar w:fldCharType="begin"/>
              </w:r>
              <w:r w:rsidR="004A4545">
                <w:instrText xml:space="preserve"> BIBLIOGRAPHY </w:instrText>
              </w:r>
              <w:r>
                <w:fldChar w:fldCharType="separate"/>
              </w:r>
              <w:r w:rsidR="00863E17">
                <w:rPr>
                  <w:noProof/>
                </w:rPr>
                <w:t xml:space="preserve">Morales, L. (2009, January 2). </w:t>
              </w:r>
              <w:r w:rsidR="00863E17">
                <w:rPr>
                  <w:i/>
                  <w:iCs/>
                  <w:noProof/>
                </w:rPr>
                <w:t>Nearly Half of Americans Are Frequent Internet Users</w:t>
              </w:r>
              <w:r w:rsidR="00863E17">
                <w:rPr>
                  <w:noProof/>
                </w:rPr>
                <w:t>. Retrieved from gallup.com: http://www.gallup.com/poll/113638/nearly-half-americans-frequent-internet-users.aspx</w:t>
              </w:r>
            </w:p>
            <w:p w14:paraId="62EB6170" w14:textId="77777777" w:rsidR="00863E17" w:rsidRDefault="00863E17" w:rsidP="00863E17">
              <w:pPr>
                <w:pStyle w:val="Bibliography"/>
                <w:ind w:left="720" w:hanging="720"/>
                <w:rPr>
                  <w:noProof/>
                </w:rPr>
              </w:pPr>
              <w:r>
                <w:rPr>
                  <w:noProof/>
                </w:rPr>
                <w:t xml:space="preserve">Ponder, N. (2013). </w:t>
              </w:r>
              <w:r>
                <w:rPr>
                  <w:i/>
                  <w:iCs/>
                  <w:noProof/>
                </w:rPr>
                <w:t>Consumer Attitudes and Buying Behavior for Home Furniture.</w:t>
              </w:r>
              <w:r>
                <w:rPr>
                  <w:noProof/>
                </w:rPr>
                <w:t xml:space="preserve"> Mississippi State: Mississippi State University.</w:t>
              </w:r>
            </w:p>
            <w:p w14:paraId="7B05F5DA" w14:textId="77777777" w:rsidR="00863E17" w:rsidRDefault="00863E17" w:rsidP="00863E17">
              <w:pPr>
                <w:pStyle w:val="Bibliography"/>
                <w:ind w:left="720" w:hanging="720"/>
                <w:rPr>
                  <w:noProof/>
                </w:rPr>
              </w:pPr>
              <w:r>
                <w:rPr>
                  <w:noProof/>
                </w:rPr>
                <w:t xml:space="preserve">Short, D. (2015, September 17). </w:t>
              </w:r>
              <w:r>
                <w:rPr>
                  <w:i/>
                  <w:iCs/>
                  <w:noProof/>
                </w:rPr>
                <w:t>Median Household Incomes by Age Bracket: 1967-2014</w:t>
              </w:r>
              <w:r>
                <w:rPr>
                  <w:noProof/>
                </w:rPr>
                <w:t>. Retrieved from advisorperspectives: http://www.advisorperspectives.com/dshort/updates/Household-Incomes-by-Age-Brackets.php</w:t>
              </w:r>
            </w:p>
            <w:p w14:paraId="2EB5A92D" w14:textId="77777777" w:rsidR="00863E17" w:rsidRDefault="00863E17" w:rsidP="00863E17">
              <w:pPr>
                <w:pStyle w:val="Bibliography"/>
                <w:ind w:left="720" w:hanging="720"/>
                <w:rPr>
                  <w:noProof/>
                </w:rPr>
              </w:pPr>
              <w:r>
                <w:rPr>
                  <w:noProof/>
                </w:rPr>
                <w:t xml:space="preserve">United States Census Bureau. (2011). </w:t>
              </w:r>
              <w:r>
                <w:rPr>
                  <w:i/>
                  <w:iCs/>
                  <w:noProof/>
                </w:rPr>
                <w:t>2010 Census .</w:t>
              </w:r>
              <w:r>
                <w:rPr>
                  <w:noProof/>
                </w:rPr>
                <w:t xml:space="preserve"> United States Census Bureau.</w:t>
              </w:r>
            </w:p>
            <w:p w14:paraId="0A27FC4B" w14:textId="77777777" w:rsidR="004A4545" w:rsidRDefault="00F731BA" w:rsidP="00863E17">
              <w:pPr>
                <w:spacing w:line="480" w:lineRule="auto"/>
              </w:pPr>
              <w:r>
                <w:rPr>
                  <w:b/>
                  <w:bCs/>
                  <w:noProof/>
                </w:rPr>
                <w:fldChar w:fldCharType="end"/>
              </w:r>
            </w:p>
          </w:sdtContent>
        </w:sdt>
      </w:sdtContent>
    </w:sdt>
    <w:p w14:paraId="3B066DA9" w14:textId="77777777" w:rsidR="004A4545" w:rsidRDefault="004A4545" w:rsidP="004A4545">
      <w:pPr>
        <w:spacing w:line="480" w:lineRule="auto"/>
      </w:pPr>
    </w:p>
    <w:p w14:paraId="00A9D0E1" w14:textId="77777777" w:rsidR="00E81DD5" w:rsidRDefault="00E81DD5" w:rsidP="004A4545">
      <w:pPr>
        <w:spacing w:line="480" w:lineRule="auto"/>
      </w:pPr>
    </w:p>
    <w:p w14:paraId="0DBEEB1C" w14:textId="77777777" w:rsidR="00E81DD5" w:rsidRDefault="00E81DD5" w:rsidP="004A4545">
      <w:pPr>
        <w:spacing w:line="480" w:lineRule="auto"/>
      </w:pPr>
    </w:p>
    <w:p w14:paraId="704E3A75" w14:textId="77777777" w:rsidR="00E81DD5" w:rsidRDefault="00E81DD5" w:rsidP="004A4545">
      <w:pPr>
        <w:spacing w:line="480" w:lineRule="auto"/>
      </w:pPr>
    </w:p>
    <w:p w14:paraId="04258312" w14:textId="77777777" w:rsidR="00E81DD5" w:rsidRDefault="00E81DD5" w:rsidP="004A4545">
      <w:pPr>
        <w:spacing w:line="480" w:lineRule="auto"/>
      </w:pPr>
    </w:p>
    <w:p w14:paraId="2E21FC44" w14:textId="77777777" w:rsidR="00E81DD5" w:rsidRDefault="00E81DD5" w:rsidP="004A4545">
      <w:pPr>
        <w:spacing w:line="480" w:lineRule="auto"/>
      </w:pPr>
    </w:p>
    <w:p w14:paraId="68D7956B" w14:textId="77777777" w:rsidR="00E81DD5" w:rsidRDefault="00E81DD5" w:rsidP="004A4545">
      <w:pPr>
        <w:spacing w:line="480" w:lineRule="auto"/>
      </w:pPr>
    </w:p>
    <w:p w14:paraId="318C061C" w14:textId="77777777" w:rsidR="00E81DD5" w:rsidRDefault="00E81DD5" w:rsidP="004A4545">
      <w:pPr>
        <w:spacing w:line="480" w:lineRule="auto"/>
      </w:pPr>
    </w:p>
    <w:p w14:paraId="63D32AA6" w14:textId="77777777" w:rsidR="00E81DD5" w:rsidRPr="00E81DD5" w:rsidRDefault="00E81DD5" w:rsidP="004A4545">
      <w:pPr>
        <w:spacing w:line="480" w:lineRule="auto"/>
      </w:pPr>
    </w:p>
    <w:sectPr w:rsidR="00E81DD5" w:rsidRPr="00E81DD5" w:rsidSect="00E60F8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B9A2B2" w14:textId="77777777" w:rsidR="008443D2" w:rsidRDefault="008443D2" w:rsidP="00B1610F">
      <w:pPr>
        <w:spacing w:after="0" w:line="240" w:lineRule="auto"/>
      </w:pPr>
      <w:r>
        <w:separator/>
      </w:r>
    </w:p>
  </w:endnote>
  <w:endnote w:type="continuationSeparator" w:id="0">
    <w:p w14:paraId="471ABD27" w14:textId="77777777" w:rsidR="008443D2" w:rsidRDefault="008443D2" w:rsidP="00B16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907EEE" w14:textId="77777777" w:rsidR="008443D2" w:rsidRDefault="008443D2" w:rsidP="00B1610F">
      <w:pPr>
        <w:spacing w:after="0" w:line="240" w:lineRule="auto"/>
      </w:pPr>
      <w:r>
        <w:separator/>
      </w:r>
    </w:p>
  </w:footnote>
  <w:footnote w:type="continuationSeparator" w:id="0">
    <w:p w14:paraId="5AE16D2E" w14:textId="77777777" w:rsidR="008443D2" w:rsidRDefault="008443D2" w:rsidP="00B161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6646381"/>
      <w:docPartObj>
        <w:docPartGallery w:val="Page Numbers (Top of Page)"/>
        <w:docPartUnique/>
      </w:docPartObj>
    </w:sdtPr>
    <w:sdtEndPr>
      <w:rPr>
        <w:noProof/>
      </w:rPr>
    </w:sdtEndPr>
    <w:sdtContent>
      <w:p w14:paraId="4B11C9AF" w14:textId="5D87792F" w:rsidR="00961291" w:rsidRDefault="00B1610F" w:rsidP="00961291">
        <w:pPr>
          <w:pStyle w:val="Header"/>
          <w:jc w:val="right"/>
        </w:pPr>
        <w:r>
          <w:br/>
        </w:r>
      </w:p>
      <w:p w14:paraId="0473211C" w14:textId="37451D58" w:rsidR="00B1610F" w:rsidRDefault="008443D2">
        <w:pPr>
          <w:pStyle w:val="Header"/>
          <w:jc w:val="right"/>
        </w:pPr>
      </w:p>
    </w:sdtContent>
  </w:sdt>
  <w:p w14:paraId="4FC9DD2D" w14:textId="77777777" w:rsidR="00B1610F" w:rsidRDefault="00B161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C2A92"/>
    <w:multiLevelType w:val="hybridMultilevel"/>
    <w:tmpl w:val="E25EF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C94437"/>
    <w:multiLevelType w:val="hybridMultilevel"/>
    <w:tmpl w:val="65CA5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2A5993"/>
    <w:multiLevelType w:val="hybridMultilevel"/>
    <w:tmpl w:val="61D0D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1610F"/>
    <w:rsid w:val="00070E60"/>
    <w:rsid w:val="00107C5B"/>
    <w:rsid w:val="00241A9E"/>
    <w:rsid w:val="00254870"/>
    <w:rsid w:val="002928F4"/>
    <w:rsid w:val="002C6FAF"/>
    <w:rsid w:val="002E26DE"/>
    <w:rsid w:val="003A2102"/>
    <w:rsid w:val="00400C56"/>
    <w:rsid w:val="004A4545"/>
    <w:rsid w:val="004B285F"/>
    <w:rsid w:val="00695ACC"/>
    <w:rsid w:val="008443D2"/>
    <w:rsid w:val="00863E17"/>
    <w:rsid w:val="00887B15"/>
    <w:rsid w:val="008C1E82"/>
    <w:rsid w:val="00961291"/>
    <w:rsid w:val="00A06504"/>
    <w:rsid w:val="00AD713A"/>
    <w:rsid w:val="00B1610F"/>
    <w:rsid w:val="00CB7285"/>
    <w:rsid w:val="00CC7079"/>
    <w:rsid w:val="00D749C6"/>
    <w:rsid w:val="00E60F8E"/>
    <w:rsid w:val="00E81DD5"/>
    <w:rsid w:val="00E8341C"/>
    <w:rsid w:val="00EB3CF4"/>
    <w:rsid w:val="00F731BA"/>
    <w:rsid w:val="00FA38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9B85C"/>
  <w15:docId w15:val="{6E7FE996-87EC-4187-82F8-ACB89AF17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0F8E"/>
  </w:style>
  <w:style w:type="paragraph" w:styleId="Heading1">
    <w:name w:val="heading 1"/>
    <w:basedOn w:val="Normal"/>
    <w:next w:val="Normal"/>
    <w:link w:val="Heading1Char"/>
    <w:uiPriority w:val="9"/>
    <w:qFormat/>
    <w:rsid w:val="00E81D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61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10F"/>
  </w:style>
  <w:style w:type="paragraph" w:styleId="Footer">
    <w:name w:val="footer"/>
    <w:basedOn w:val="Normal"/>
    <w:link w:val="FooterChar"/>
    <w:uiPriority w:val="99"/>
    <w:unhideWhenUsed/>
    <w:rsid w:val="00B161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10F"/>
  </w:style>
  <w:style w:type="paragraph" w:styleId="ListParagraph">
    <w:name w:val="List Paragraph"/>
    <w:basedOn w:val="Normal"/>
    <w:uiPriority w:val="34"/>
    <w:qFormat/>
    <w:rsid w:val="00E81DD5"/>
    <w:pPr>
      <w:ind w:left="720"/>
      <w:contextualSpacing/>
    </w:pPr>
  </w:style>
  <w:style w:type="character" w:customStyle="1" w:styleId="Heading1Char">
    <w:name w:val="Heading 1 Char"/>
    <w:basedOn w:val="DefaultParagraphFont"/>
    <w:link w:val="Heading1"/>
    <w:uiPriority w:val="9"/>
    <w:rsid w:val="00E81DD5"/>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E81DD5"/>
  </w:style>
  <w:style w:type="paragraph" w:styleId="BalloonText">
    <w:name w:val="Balloon Text"/>
    <w:basedOn w:val="Normal"/>
    <w:link w:val="BalloonTextChar"/>
    <w:uiPriority w:val="99"/>
    <w:semiHidden/>
    <w:unhideWhenUsed/>
    <w:rsid w:val="00D749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9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90817">
      <w:bodyDiv w:val="1"/>
      <w:marLeft w:val="0"/>
      <w:marRight w:val="0"/>
      <w:marTop w:val="0"/>
      <w:marBottom w:val="0"/>
      <w:divBdr>
        <w:top w:val="none" w:sz="0" w:space="0" w:color="auto"/>
        <w:left w:val="none" w:sz="0" w:space="0" w:color="auto"/>
        <w:bottom w:val="none" w:sz="0" w:space="0" w:color="auto"/>
        <w:right w:val="none" w:sz="0" w:space="0" w:color="auto"/>
      </w:divBdr>
    </w:div>
    <w:div w:id="423382617">
      <w:bodyDiv w:val="1"/>
      <w:marLeft w:val="0"/>
      <w:marRight w:val="0"/>
      <w:marTop w:val="0"/>
      <w:marBottom w:val="0"/>
      <w:divBdr>
        <w:top w:val="none" w:sz="0" w:space="0" w:color="auto"/>
        <w:left w:val="none" w:sz="0" w:space="0" w:color="auto"/>
        <w:bottom w:val="none" w:sz="0" w:space="0" w:color="auto"/>
        <w:right w:val="none" w:sz="0" w:space="0" w:color="auto"/>
      </w:divBdr>
    </w:div>
    <w:div w:id="610165592">
      <w:bodyDiv w:val="1"/>
      <w:marLeft w:val="0"/>
      <w:marRight w:val="0"/>
      <w:marTop w:val="0"/>
      <w:marBottom w:val="0"/>
      <w:divBdr>
        <w:top w:val="none" w:sz="0" w:space="0" w:color="auto"/>
        <w:left w:val="none" w:sz="0" w:space="0" w:color="auto"/>
        <w:bottom w:val="none" w:sz="0" w:space="0" w:color="auto"/>
        <w:right w:val="none" w:sz="0" w:space="0" w:color="auto"/>
      </w:divBdr>
    </w:div>
    <w:div w:id="1063794249">
      <w:bodyDiv w:val="1"/>
      <w:marLeft w:val="0"/>
      <w:marRight w:val="0"/>
      <w:marTop w:val="0"/>
      <w:marBottom w:val="0"/>
      <w:divBdr>
        <w:top w:val="none" w:sz="0" w:space="0" w:color="auto"/>
        <w:left w:val="none" w:sz="0" w:space="0" w:color="auto"/>
        <w:bottom w:val="none" w:sz="0" w:space="0" w:color="auto"/>
        <w:right w:val="none" w:sz="0" w:space="0" w:color="auto"/>
      </w:divBdr>
    </w:div>
    <w:div w:id="1443453601">
      <w:bodyDiv w:val="1"/>
      <w:marLeft w:val="0"/>
      <w:marRight w:val="0"/>
      <w:marTop w:val="0"/>
      <w:marBottom w:val="0"/>
      <w:divBdr>
        <w:top w:val="none" w:sz="0" w:space="0" w:color="auto"/>
        <w:left w:val="none" w:sz="0" w:space="0" w:color="auto"/>
        <w:bottom w:val="none" w:sz="0" w:space="0" w:color="auto"/>
        <w:right w:val="none" w:sz="0" w:space="0" w:color="auto"/>
      </w:divBdr>
    </w:div>
    <w:div w:id="1457798135">
      <w:bodyDiv w:val="1"/>
      <w:marLeft w:val="0"/>
      <w:marRight w:val="0"/>
      <w:marTop w:val="0"/>
      <w:marBottom w:val="0"/>
      <w:divBdr>
        <w:top w:val="none" w:sz="0" w:space="0" w:color="auto"/>
        <w:left w:val="none" w:sz="0" w:space="0" w:color="auto"/>
        <w:bottom w:val="none" w:sz="0" w:space="0" w:color="auto"/>
        <w:right w:val="none" w:sz="0" w:space="0" w:color="auto"/>
      </w:divBdr>
    </w:div>
    <w:div w:id="1463188395">
      <w:bodyDiv w:val="1"/>
      <w:marLeft w:val="0"/>
      <w:marRight w:val="0"/>
      <w:marTop w:val="0"/>
      <w:marBottom w:val="0"/>
      <w:divBdr>
        <w:top w:val="none" w:sz="0" w:space="0" w:color="auto"/>
        <w:left w:val="none" w:sz="0" w:space="0" w:color="auto"/>
        <w:bottom w:val="none" w:sz="0" w:space="0" w:color="auto"/>
        <w:right w:val="none" w:sz="0" w:space="0" w:color="auto"/>
      </w:divBdr>
    </w:div>
    <w:div w:id="1592859170">
      <w:bodyDiv w:val="1"/>
      <w:marLeft w:val="0"/>
      <w:marRight w:val="0"/>
      <w:marTop w:val="0"/>
      <w:marBottom w:val="0"/>
      <w:divBdr>
        <w:top w:val="none" w:sz="0" w:space="0" w:color="auto"/>
        <w:left w:val="none" w:sz="0" w:space="0" w:color="auto"/>
        <w:bottom w:val="none" w:sz="0" w:space="0" w:color="auto"/>
        <w:right w:val="none" w:sz="0" w:space="0" w:color="auto"/>
      </w:divBdr>
    </w:div>
    <w:div w:id="1721324149">
      <w:bodyDiv w:val="1"/>
      <w:marLeft w:val="0"/>
      <w:marRight w:val="0"/>
      <w:marTop w:val="0"/>
      <w:marBottom w:val="0"/>
      <w:divBdr>
        <w:top w:val="none" w:sz="0" w:space="0" w:color="auto"/>
        <w:left w:val="none" w:sz="0" w:space="0" w:color="auto"/>
        <w:bottom w:val="none" w:sz="0" w:space="0" w:color="auto"/>
        <w:right w:val="none" w:sz="0" w:space="0" w:color="auto"/>
      </w:divBdr>
    </w:div>
    <w:div w:id="199209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Uni11</b:Tag>
    <b:SourceType>Report</b:SourceType>
    <b:Guid>{B43C5D3A-1754-4E23-840C-7567BE2E5AB3}</b:Guid>
    <b:Title>2010 Census </b:Title>
    <b:Year>2011</b:Year>
    <b:Author>
      <b:Author>
        <b:Corporate>United States Census Bureau</b:Corporate>
      </b:Author>
    </b:Author>
    <b:Publisher>United States Census Bureau</b:Publisher>
    <b:RefOrder>1</b:RefOrder>
  </b:Source>
  <b:Source>
    <b:Tag>Nic13</b:Tag>
    <b:SourceType>Report</b:SourceType>
    <b:Guid>{CE35C544-E94E-44C5-8904-49EF4936959B}</b:Guid>
    <b:Author>
      <b:Author>
        <b:NameList>
          <b:Person>
            <b:Last>Ponder</b:Last>
            <b:First>Nicole</b:First>
          </b:Person>
        </b:NameList>
      </b:Author>
    </b:Author>
    <b:Title>Consumer Attitudes and Buying Behavior for Home Furniture</b:Title>
    <b:Year>2013</b:Year>
    <b:Publisher>Mississippi State University</b:Publisher>
    <b:City>Mississippi State</b:City>
    <b:RefOrder>3</b:RefOrder>
  </b:Source>
  <b:Source>
    <b:Tag>Dou15</b:Tag>
    <b:SourceType>InternetSite</b:SourceType>
    <b:Guid>{75ADE5EE-017A-4F16-8212-B146B1C8D65D}</b:Guid>
    <b:Title>Median Household Incomes by Age Bracket: 1967-2014</b:Title>
    <b:Year>2015</b:Year>
    <b:Author>
      <b:Author>
        <b:NameList>
          <b:Person>
            <b:Last>Short</b:Last>
            <b:First>Doug</b:First>
          </b:Person>
        </b:NameList>
      </b:Author>
    </b:Author>
    <b:InternetSiteTitle>advisorperspectives</b:InternetSiteTitle>
    <b:Month>September</b:Month>
    <b:Day>17</b:Day>
    <b:URL>http://www.advisorperspectives.com/dshort/updates/Household-Incomes-by-Age-Brackets.php</b:URL>
    <b:RefOrder>4</b:RefOrder>
  </b:Source>
  <b:Source>
    <b:Tag>Lym09</b:Tag>
    <b:SourceType>InternetSite</b:SourceType>
    <b:Guid>{E77559E6-FBE6-4D00-8631-041089064DA0}</b:Guid>
    <b:Author>
      <b:Author>
        <b:NameList>
          <b:Person>
            <b:Last>Morales</b:Last>
            <b:First>Lymari</b:First>
          </b:Person>
        </b:NameList>
      </b:Author>
    </b:Author>
    <b:Title>Nearly Half of Americans Are Frequent Internet Users</b:Title>
    <b:InternetSiteTitle>gallup.com</b:InternetSiteTitle>
    <b:Year>2009</b:Year>
    <b:Month>January</b:Month>
    <b:Day>2</b:Day>
    <b:URL>http://www.gallup.com/poll/113638/nearly-half-americans-frequent-internet-users.aspx</b:URL>
    <b:RefOrder>2</b:RefOrder>
  </b:Source>
</b:Sources>
</file>

<file path=customXml/itemProps1.xml><?xml version="1.0" encoding="utf-8"?>
<ds:datastoreItem xmlns:ds="http://schemas.openxmlformats.org/officeDocument/2006/customXml" ds:itemID="{413BA00F-0208-4977-8D58-165FB7D7B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Efaw</dc:creator>
  <cp:lastModifiedBy>defaw2@students.fairmontstate.edu</cp:lastModifiedBy>
  <cp:revision>5</cp:revision>
  <dcterms:created xsi:type="dcterms:W3CDTF">2015-09-29T15:48:00Z</dcterms:created>
  <dcterms:modified xsi:type="dcterms:W3CDTF">2018-02-18T14:47:00Z</dcterms:modified>
</cp:coreProperties>
</file>