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p14">
  <w:body>
    <w:p w14:paraId="2A31E01D">
      <w:pPr>
        <w:spacing w:before="960" w:after="240" w:line="560" w:lineRule="exact"/>
        <w:ind w:firstLine="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方正小标宋简体" w:cs="Times New Roman Regular"/>
          <w:b/>
          <w:sz w:val="44"/>
        </w:rPr>
        <w:t>【区域名称】电力系统规划</w:t>
      </w:r>
      <w:r>
        <w:rPr>
          <w:rFonts w:hint="default" w:ascii="Times New Roman Regular" w:hAnsi="Times New Roman Regular" w:eastAsia="方正小标宋简体" w:cs="Times New Roman Regular"/>
          <w:b/>
          <w:sz w:val="44"/>
        </w:rPr>
        <w:br w:type="textWrapping"/>
      </w:r>
      <w:r>
        <w:rPr>
          <w:rFonts w:hint="default" w:ascii="Times New Roman Regular" w:hAnsi="Times New Roman Regular" w:eastAsia="方正小标宋简体" w:cs="Times New Roman Regular"/>
          <w:b/>
          <w:sz w:val="44"/>
        </w:rPr>
        <w:t>中长期电力电量平衡仿真分析报告</w:t>
      </w:r>
    </w:p>
    <w:p w14:paraId="620F9CD9">
      <w:pPr>
        <w:spacing w:before="360" w:after="120" w:line="560" w:lineRule="exact"/>
        <w:ind w:firstLine="0"/>
        <w:jc w:val="left"/>
        <w:rPr>
          <w:rFonts w:hint="eastAsia" w:ascii="Times New Roman Regular" w:hAnsi="Times New Roman Regular" w:eastAsia="黑体" w:cs="Times New Roman Regular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b/>
          <w:color w:val="1F497D"/>
          <w:sz w:val="32"/>
        </w:rPr>
        <w:t>一、算例描述</w:t>
      </w:r>
    </w:p>
    <w:p w14:paraId="3BB0F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</w:t>
      </w:r>
      <w:r>
        <w:rPr>
          <w:rFonts w:hint="default" w:ascii="Times New Roman Regular" w:hAnsi="Times New Roman Regular" w:eastAsia="楷体_GB2312" w:cs="Times New Roman Regular"/>
          <w:sz w:val="28"/>
        </w:rPr>
        <w:t>任务基本信息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BC41FA8">
        <w:trPr>
          <w:jc w:val="center"/>
        </w:trPr>
        <w:tc>
          <w:tcPr>
            <w:tcW w:w="415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  <w:insideH w:val="single" w:sz="4" w:space="0"/>
              <w:insideV w:val="single" w:sz="4" w:space="0"/>
            </w:tcBorders>
            <w:shd w:val="clear" w:color="auto" w:fill="4F81BD" w:themeFill="accent1"/>
          </w:tcPr>
          <w:p w14:paraId="3B2115B5">
            <w:pPr>
              <w:spacing w:before="0" w:after="0" w:line="440" w:lineRule="exact"/>
              <w:jc w:val="left"/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FFFFFF"/>
                <w:sz w:val="28"/>
              </w:rPr>
              <w:t>任务编号</w:t>
            </w:r>
          </w:p>
        </w:tc>
        <w:tc>
          <w:tcPr>
            <w:tcW w:w="415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  <w:insideH w:val="single" w:sz="4" w:space="0"/>
              <w:insideV w:val="single" w:sz="4" w:space="0"/>
            </w:tcBorders>
            <w:shd w:val="clear" w:color="auto" w:fill="4F81BD" w:themeFill="accent1"/>
          </w:tcPr>
          <w:p w14:paraId="4734E4D6">
            <w:pPr>
              <w:spacing w:before="0" w:after="0" w:line="440" w:lineRule="exact"/>
              <w:jc w:val="left"/>
              <w:rPr>
                <w:rFonts w:hint="default" w:ascii="Times New Roman Regular" w:hAnsi="Times New Roman Regular" w:cs="Times New Roman Regular"/>
                <w:b/>
                <w:i w:val="0"/>
                <w:color w:val="FFFFFF"/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FFFFFF"/>
                <w:sz w:val="28"/>
              </w:rPr>
              <w:t>【填写】</w:t>
            </w:r>
          </w:p>
        </w:tc>
      </w:tr>
      <w:tr w14:paraId="3D6A2379">
        <w:trPr>
          <w:jc w:val="center"/>
        </w:trPr>
        <w:tc>
          <w:tcPr>
            <w:tcW w:w="415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  <w:insideH w:val="single" w:sz="4" w:space="0"/>
              <w:insideV w:val="single" w:sz="4" w:space="0"/>
            </w:tcBorders>
            <w:shd w:val="clear" w:color="auto" w:fill="FFFFFF"/>
          </w:tcPr>
          <w:p w14:paraId="443EF7DD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仿真时间</w:t>
            </w:r>
          </w:p>
        </w:tc>
        <w:tc>
          <w:tcPr>
            <w:tcW w:w="415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  <w:insideH w:val="single" w:sz="4" w:space="0"/>
              <w:insideV w:val="single" w:sz="4" w:space="0"/>
            </w:tcBorders>
            <w:shd w:val="clear" w:color="auto" w:fill="FFFFFF"/>
          </w:tcPr>
          <w:p w14:paraId="1BAA6ADE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【填写】，计算耗时：XX 秒</w:t>
            </w:r>
          </w:p>
        </w:tc>
      </w:tr>
      <w:tr w14:paraId="530B4172">
        <w:trPr>
          <w:jc w:val="center"/>
        </w:trPr>
        <w:tc>
          <w:tcPr>
            <w:tcW w:w="415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  <w:insideH w:val="single" w:sz="4" w:space="0"/>
              <w:insideV w:val="single" w:sz="4" w:space="0"/>
            </w:tcBorders>
            <w:shd w:val="clear" w:color="auto" w:fill="EDF2F8" w:themeFill="accent1" w:themeFillTint="19"/>
          </w:tcPr>
          <w:p w14:paraId="55F766D2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任务类型</w:t>
            </w:r>
          </w:p>
        </w:tc>
        <w:tc>
          <w:tcPr>
            <w:tcW w:w="41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  <w:insideH w:val="single" w:sz="4" w:space="0"/>
              <w:insideV w:val="single" w:sz="4" w:space="0"/>
            </w:tcBorders>
            <w:shd w:val="clear" w:color="auto" w:fill="EDF2F8" w:themeFill="accent1" w:themeFillTint="19"/>
          </w:tcPr>
          <w:p w14:paraId="7775EE95">
            <w:pPr>
              <w:spacing w:before="0" w:after="0" w:line="440" w:lineRule="exact"/>
              <w:rPr>
                <w:rFonts w:hint="default" w:ascii="Times New Roman Regular" w:hAnsi="Times New Roman Regular" w:eastAsia="宋体" w:cs="Times New Roman Regular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  <w:lang w:val="en-US" w:eastAsia="zh-CN"/>
              </w:rPr>
              <w:t>时序模拟/滚动模拟/规划模拟</w:t>
            </w:r>
          </w:p>
        </w:tc>
      </w:tr>
      <w:tr w14:paraId="2ACA06AE">
        <w:trPr>
          <w:jc w:val="center"/>
        </w:trPr>
        <w:tc>
          <w:tcPr>
            <w:tcW w:w="415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  <w:insideH w:val="single" w:sz="4" w:space="0"/>
              <w:insideV w:val="single" w:sz="4" w:space="0"/>
            </w:tcBorders>
            <w:shd w:val="clear" w:color="auto" w:fill="FFFFFF"/>
          </w:tcPr>
          <w:p w14:paraId="4DD6991B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分析日期</w:t>
            </w:r>
          </w:p>
        </w:tc>
        <w:tc>
          <w:tcPr>
            <w:tcW w:w="41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  <w:insideH w:val="single" w:sz="4" w:space="0"/>
              <w:insideV w:val="single" w:sz="4" w:space="0"/>
            </w:tcBorders>
            <w:shd w:val="clear" w:color="auto" w:fill="FFFFFF"/>
          </w:tcPr>
          <w:p w14:paraId="31E409DF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【填写】</w:t>
            </w:r>
          </w:p>
        </w:tc>
      </w:tr>
      <w:tr w14:paraId="53B5D7B1">
        <w:trPr>
          <w:jc w:val="center"/>
        </w:trPr>
        <w:tc>
          <w:tcPr>
            <w:tcW w:w="415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  <w:insideH w:val="single" w:sz="4" w:space="0"/>
              <w:insideV w:val="single" w:sz="4" w:space="0"/>
            </w:tcBorders>
            <w:shd w:val="clear" w:color="auto" w:fill="EDF2F8" w:themeFill="accent1" w:themeFillTint="19"/>
          </w:tcPr>
          <w:p w14:paraId="2BD87492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编制单位</w:t>
            </w:r>
          </w:p>
        </w:tc>
        <w:tc>
          <w:tcPr>
            <w:tcW w:w="41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  <w:insideH w:val="single" w:sz="4" w:space="0"/>
              <w:insideV w:val="single" w:sz="4" w:space="0"/>
            </w:tcBorders>
            <w:shd w:val="clear" w:color="auto" w:fill="EDF2F8" w:themeFill="accent1" w:themeFillTint="19"/>
          </w:tcPr>
          <w:p w14:paraId="3F90E253">
            <w:pPr>
              <w:spacing w:before="0" w:after="0" w:line="440" w:lineRule="exact"/>
              <w:rPr>
                <w:rFonts w:hint="default" w:ascii="Times New Roman Regular" w:hAnsi="Times New Roman Regular" w:cs="Times New Roman Regular"/>
                <w:b w:val="0"/>
                <w:i w:val="0"/>
                <w:color w:val="000000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【填写】</w:t>
            </w:r>
          </w:p>
        </w:tc>
      </w:tr>
      <w:tr w14:paraId="5E07914C">
        <w:trPr>
          <w:jc w:val="center"/>
        </w:trPr>
        <w:tc>
          <w:tcPr>
            <w:tcW w:w="415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  <w:insideH w:val="single" w:sz="4" w:space="0"/>
              <w:insideV w:val="single" w:sz="4" w:space="0"/>
            </w:tcBorders>
            <w:shd w:val="clear" w:color="auto" w:fill="FFFFFF"/>
          </w:tcPr>
          <w:p w14:paraId="6BAFF12D">
            <w:pPr>
              <w:spacing w:before="0" w:after="0" w:line="440" w:lineRule="exact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  <w:lang w:val="en-US" w:eastAsia="zh-CN"/>
              </w:rPr>
              <w:t>算例备注</w:t>
            </w:r>
          </w:p>
        </w:tc>
        <w:tc>
          <w:tcPr>
            <w:tcW w:w="41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  <w:insideH w:val="single" w:sz="4" w:space="0"/>
              <w:insideV w:val="single" w:sz="4" w:space="0"/>
            </w:tcBorders>
            <w:shd w:val="clear" w:color="auto" w:fill="FFFFFF"/>
          </w:tcPr>
          <w:p w14:paraId="1FA0378C">
            <w:pPr>
              <w:spacing w:before="0" w:after="0" w:line="440" w:lineRule="exact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00000"/>
                <w:sz w:val="28"/>
              </w:rPr>
              <w:t>【填写】</w:t>
            </w:r>
          </w:p>
        </w:tc>
      </w:tr>
    </w:tbl>
    <w:p w14:paraId="18E762A9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1.1 基础信息</w:t>
      </w:r>
    </w:p>
    <w:p w14:paraId="75C3E58F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图1  系统拓扑图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/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/>
      </w:r>
    </w:p>
    <w:p w14:paraId="6B6E2EBE">
      <w:pPr>
        <w:spacing w:after="120" w:line="560" w:lineRule="exact"/>
        <w:ind w:firstLine="64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仿宋_GB2312" w:cs="Times New Roman Regular"/>
          <w:b w:val="0"/>
          <w:sz w:val="32"/>
        </w:rPr>
        <w:t>本算例为【省份/区域】电力规划算例，用于评估【规划年份】水平年电力电量平衡情况，分析系统装机布局的合理性，识别电力缺口风险，为电网规划提供决策支持。</w:t>
      </w:r>
    </w:p>
    <w:p w14:paraId="7988C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表2</w:t>
      </w:r>
      <w:r>
        <w:rPr>
          <w:rFonts w:hint="default" w:ascii="Times New Roman Regular" w:hAnsi="Times New Roman Regular" w:eastAsia="楷体_GB2312" w:cs="Times New Roman Regular"/>
          <w:sz w:val="28"/>
        </w:rPr>
        <w:t>仿真参数表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102"/>
      </w:tblGrid>
      <w:tr w14:paraId="0ED18161">
        <w:trPr>
          <w:jc w:val="center"/>
        </w:trPr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6C2896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参数</w:t>
            </w:r>
          </w:p>
        </w:tc>
        <w:tc>
          <w:tcPr>
            <w:tcW w:w="510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C20980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内容</w:t>
            </w:r>
          </w:p>
        </w:tc>
      </w:tr>
      <w:tr w14:paraId="68591E3D">
        <w:trPr>
          <w:jc w:val="center"/>
        </w:trPr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AE5E0A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仿真起始时间</w:t>
            </w:r>
          </w:p>
        </w:tc>
        <w:tc>
          <w:tcPr>
            <w:tcW w:w="5102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3E869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XXXX-01-01 00:00</w:t>
            </w:r>
          </w:p>
        </w:tc>
      </w:tr>
      <w:tr w14:paraId="1A92794F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77179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仿真结束时间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27BFC7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XXXX-12-31 23:00</w:t>
            </w:r>
          </w:p>
        </w:tc>
      </w:tr>
      <w:tr w14:paraId="6ACBEF2F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DA0D4F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时间分辨率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D7FC0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小时级 (H)</w:t>
            </w:r>
          </w:p>
        </w:tc>
      </w:tr>
      <w:tr w14:paraId="55CD610E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05B9C3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分区数量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47BFE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【填写】</w:t>
            </w:r>
          </w:p>
        </w:tc>
      </w:tr>
      <w:tr w14:paraId="3B44C40C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294B0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总装机容量</w:t>
            </w:r>
          </w:p>
        </w:tc>
        <w:tc>
          <w:tcPr>
            <w:tcW w:w="5102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2A0B3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 MW</w:t>
            </w:r>
          </w:p>
        </w:tc>
      </w:tr>
    </w:tbl>
    <w:p w14:paraId="537789C1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1.2 系统装机结构</w:t>
      </w:r>
    </w:p>
    <w:p w14:paraId="64BF9BAB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>2</w:t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>  系统装机结构图：各类型电源装机容量占比饼图</w:t>
      </w:r>
    </w:p>
    <w:p w14:paraId="3B8F2344">
      <w:pPr>
        <w:spacing w:after="120" w:line="560" w:lineRule="exact"/>
        <w:ind w:firstLine="64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系统电源构成如下所示：</w:t>
      </w:r>
    </w:p>
    <w:p w14:paraId="774EAE19">
      <w:pPr>
        <w:spacing w:before="120" w:after="120" w:line="560" w:lineRule="exact"/>
        <w:jc w:val="center"/>
        <w:rPr>
          <w:rFonts w:hint="default" w:ascii="Times New Roman Regular" w:hAnsi="Times New Roman Regular" w:eastAsia="楷体_GB2312" w:cs="Times New Roman Regular"/>
          <w:sz w:val="28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表3系统装机结构表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1417"/>
        <w:gridCol w:w="2268"/>
      </w:tblGrid>
      <w:tr w14:paraId="6A0CDE84">
        <w:trPr>
          <w:jc w:val="center"/>
        </w:trPr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49D62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电源类型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86333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装机容量 (MW)</w:t>
            </w:r>
          </w:p>
        </w:tc>
        <w:tc>
          <w:tcPr>
            <w:tcW w:w="141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8F0D6A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占比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D06B9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备注</w:t>
            </w:r>
          </w:p>
        </w:tc>
      </w:tr>
      <w:tr w14:paraId="1177747C">
        <w:trPr>
          <w:jc w:val="center"/>
        </w:trPr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EC7AEC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煤电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06C4CB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32FA99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BC48C2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基荷电源</w:t>
            </w:r>
          </w:p>
        </w:tc>
      </w:tr>
      <w:tr w14:paraId="12B79127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3533A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气电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CE4C8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0BC094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F6C12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调峰电源</w:t>
            </w:r>
          </w:p>
        </w:tc>
      </w:tr>
      <w:tr w14:paraId="77AC0D34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A75A7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核电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1DD99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1F114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F0E05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基荷电源</w:t>
            </w:r>
          </w:p>
        </w:tc>
      </w:tr>
      <w:tr w14:paraId="04D3E1D2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CCB56D">
            <w:pPr>
              <w:spacing w:before="0" w:after="0" w:line="440" w:lineRule="exact"/>
              <w:jc w:val="center"/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  <w:t>生物质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59A86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8090C"/>
                <w:sz w:val="28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263E1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8090C"/>
                <w:sz w:val="28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9161F2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基荷电源</w:t>
            </w:r>
          </w:p>
        </w:tc>
      </w:tr>
      <w:tr w14:paraId="172A9997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AFEF8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  <w:t>三段式水电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30C2A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8090C"/>
                <w:sz w:val="28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01830B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i w:val="0"/>
                <w:color w:val="08090C"/>
                <w:sz w:val="28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BF488A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调节电源</w:t>
            </w:r>
          </w:p>
        </w:tc>
      </w:tr>
      <w:tr w14:paraId="6DEC6DE4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BF75D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  <w:t>库容式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水电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5C3BB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0E82D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1A9B5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调节电源</w:t>
            </w:r>
          </w:p>
        </w:tc>
      </w:tr>
      <w:tr w14:paraId="7303A3C6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455F8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风电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F6DCE6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CE1F8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95A91B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主力电源</w:t>
            </w:r>
          </w:p>
        </w:tc>
      </w:tr>
      <w:tr w14:paraId="6B9D4445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DDA00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光伏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6DBA7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7D677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C48F7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主力电源</w:t>
            </w:r>
          </w:p>
        </w:tc>
      </w:tr>
      <w:tr w14:paraId="51AE4EC9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3148E8">
            <w:pPr>
              <w:spacing w:before="0" w:after="0" w:line="440" w:lineRule="exact"/>
              <w:jc w:val="center"/>
              <w:rPr>
                <w:rFonts w:hint="eastAsia" w:ascii="Times New Roman Regular" w:hAnsi="Times New Roman Regular" w:eastAsia="宋体" w:cs="Times New Roman Regular"/>
                <w:b w:val="0"/>
                <w:i w:val="0"/>
                <w:color w:val="08090C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  <w:t>光热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25CA2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8CBAC8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A93BD2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eastAsia="宋体" w:cs="Times New Roman Regular"/>
                <w:b w:val="0"/>
                <w:i w:val="0"/>
                <w:color w:val="08090C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 w:eastAsia="zh-CN"/>
              </w:rPr>
              <w:t>可再生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电源</w:t>
            </w:r>
          </w:p>
        </w:tc>
      </w:tr>
      <w:tr w14:paraId="6AEAB3AA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E2E06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储能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35DE16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30C31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9776A2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灵活性资源</w:t>
            </w:r>
          </w:p>
        </w:tc>
      </w:tr>
      <w:tr w14:paraId="764EA28F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D2847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合计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88AC1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DF5B3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100%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3BFE3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—</w:t>
            </w:r>
          </w:p>
        </w:tc>
      </w:tr>
    </w:tbl>
    <w:p w14:paraId="63449DE4">
      <w:pPr>
        <w:spacing w:after="120" w:line="560" w:lineRule="exact"/>
        <w:ind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 xml:space="preserve"> 系统电源结构特点描述：如新能源占比、主要调节资源、典型问题等，请参考本报告表3系统装机结构表及表6各类电源年度发电量表。</w:t>
      </w:r>
    </w:p>
    <w:p w14:paraId="420D134D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1.3 分区装机分布（多分区算例）</w:t>
      </w:r>
    </w:p>
    <w:p w14:paraId="6C75E11C">
      <w:pPr>
        <w:spacing w:after="120" w:line="560" w:lineRule="exact"/>
        <w:ind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【适用于多分区算例】系统分【X】个区域，各分区装机如下：</w:t>
      </w:r>
    </w:p>
    <w:p w14:paraId="44D80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表4</w:t>
      </w:r>
      <w:r>
        <w:rPr>
          <w:rFonts w:hint="eastAsia" w:ascii="Times New Roman Regular" w:hAnsi="Times New Roman Regular" w:eastAsia="楷体_GB2312" w:cs="Times New Roman Regular"/>
          <w:b/>
          <w:sz w:val="28"/>
          <w:lang w:val="en-US" w:eastAsia="zh-CN"/>
        </w:rPr>
        <w:t xml:space="preserve"> </w:t>
      </w:r>
      <w:r>
        <w:rPr>
          <w:rFonts w:hint="default" w:ascii="Times New Roman Regular" w:hAnsi="Times New Roman Regular" w:eastAsia="楷体_GB2312" w:cs="Times New Roman Regular"/>
          <w:sz w:val="28"/>
        </w:rPr>
        <w:t>分区装机分布表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2268"/>
        <w:gridCol w:w="1701"/>
      </w:tblGrid>
      <w:tr w14:paraId="12280C37">
        <w:trPr>
          <w:jc w:val="center"/>
        </w:trPr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4C4AF3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电源类型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E7BBAB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分区1 (MW)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FE3B05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分区2 (MW)</w:t>
            </w:r>
          </w:p>
        </w:tc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76717B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合计 (MW)</w:t>
            </w:r>
          </w:p>
        </w:tc>
      </w:tr>
      <w:tr w14:paraId="61DD1394">
        <w:trPr>
          <w:jc w:val="center"/>
        </w:trPr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E178C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煤电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AB8E2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6D3AF6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81652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</w:tr>
      <w:tr w14:paraId="771B1B66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E3CC4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气电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94ED3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6D392D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0D59E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</w:tr>
      <w:tr w14:paraId="41DBE4B0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418C0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新能源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E6DF9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24A0F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B944A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</w:tr>
    </w:tbl>
    <w:p w14:paraId="1AEE3E4A">
      <w:pPr>
        <w:spacing w:before="360" w:after="12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497D"/>
          <w:sz w:val="32"/>
        </w:rPr>
        <w:t>二、仿真结果总览</w:t>
      </w:r>
    </w:p>
    <w:p w14:paraId="1C8D73CE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2.1 电力平衡核心指标</w:t>
      </w:r>
    </w:p>
    <w:p w14:paraId="79A63220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>3</w:t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>  全年负荷与新能源发电典型曲线：全年 8760 小时负荷曲线与新能源出力曲线叠加图</w:t>
      </w:r>
    </w:p>
    <w:p w14:paraId="71CCD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表5</w:t>
      </w:r>
      <w:r>
        <w:rPr>
          <w:rFonts w:hint="default" w:ascii="Times New Roman Regular" w:hAnsi="Times New Roman Regular" w:eastAsia="楷体_GB2312" w:cs="Times New Roman Regular"/>
          <w:sz w:val="28"/>
        </w:rPr>
        <w:t>电力平衡核心指标表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2835"/>
        <w:gridCol w:w="2545"/>
      </w:tblGrid>
      <w:tr w14:paraId="321CFE32">
        <w:trPr>
          <w:jc w:val="center"/>
        </w:trPr>
        <w:tc>
          <w:tcPr>
            <w:tcW w:w="321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2E36B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指标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E80A0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数值</w:t>
            </w:r>
          </w:p>
        </w:tc>
        <w:tc>
          <w:tcPr>
            <w:tcW w:w="254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94F2A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状态</w:t>
            </w:r>
          </w:p>
        </w:tc>
      </w:tr>
      <w:tr w14:paraId="2A5AF057">
        <w:trPr>
          <w:jc w:val="center"/>
        </w:trPr>
        <w:tc>
          <w:tcPr>
            <w:tcW w:w="3212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A11D5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全年总发电量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D535B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 xml:space="preserve">X,XXX 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  <w:lang w:val="en-US"/>
              </w:rPr>
              <w:t>G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Wh</w:t>
            </w:r>
          </w:p>
        </w:tc>
        <w:tc>
          <w:tcPr>
            <w:tcW w:w="254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DF3BA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✅ 平衡</w:t>
            </w:r>
          </w:p>
        </w:tc>
      </w:tr>
      <w:tr w14:paraId="33E3A7D1">
        <w:trPr>
          <w:jc w:val="center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F5DF70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最大负荷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36B173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 MW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30FC3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—</w:t>
            </w:r>
          </w:p>
        </w:tc>
      </w:tr>
      <w:tr w14:paraId="34098F11">
        <w:trPr>
          <w:jc w:val="center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BB07C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平均负荷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4C445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 MW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3D048F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—</w:t>
            </w:r>
          </w:p>
        </w:tc>
      </w:tr>
      <w:tr w14:paraId="419E33E0">
        <w:trPr>
          <w:jc w:val="center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42B5C3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负荷缺额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19C77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0 / X,XXX MWh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50D96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✅ 无缺电 / ⚠有缺电</w:t>
            </w:r>
          </w:p>
        </w:tc>
      </w:tr>
      <w:tr w14:paraId="061297E3">
        <w:trPr>
          <w:jc w:val="center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E8C7D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最大备用缺口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9C2E36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 MW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53F41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⚠备用不足 / ✅ 充足</w:t>
            </w:r>
          </w:p>
        </w:tc>
      </w:tr>
      <w:tr w14:paraId="03E1B3C3">
        <w:trPr>
          <w:jc w:val="center"/>
        </w:trPr>
        <w:tc>
          <w:tcPr>
            <w:tcW w:w="3212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809C9D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紧急备用缺额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F14C49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0 / X,XXX MW</w:t>
            </w:r>
          </w:p>
        </w:tc>
        <w:tc>
          <w:tcPr>
            <w:tcW w:w="254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D6C4D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✅ 充足 / ⚠不足</w:t>
            </w:r>
          </w:p>
        </w:tc>
      </w:tr>
    </w:tbl>
    <w:p w14:paraId="3C04D09F">
      <w:pPr>
        <w:spacing w:after="120" w:line="560" w:lineRule="exact"/>
        <w:ind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【关键发现】系统存在显著的上调/下调备用容量缺口，最大缺口达 XX,XXX MW，主要集中在【季节/分区】，持续时间约 XX 小时。</w:t>
      </w:r>
    </w:p>
    <w:p w14:paraId="3629A995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2.2 各类电源年度发电量</w:t>
      </w:r>
    </w:p>
    <w:p w14:paraId="38954D1B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>4</w:t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>  全年各月发电量分布图：按月堆叠柱状图，含总电量标注</w:t>
      </w:r>
    </w:p>
    <w:p w14:paraId="4EC91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表6</w:t>
      </w:r>
      <w:r>
        <w:rPr>
          <w:rFonts w:hint="default" w:ascii="Times New Roman Regular" w:hAnsi="Times New Roman Regular" w:eastAsia="楷体_GB2312" w:cs="Times New Roman Regular"/>
          <w:sz w:val="28"/>
        </w:rPr>
        <w:t>各类电源年度发电量表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2790"/>
        <w:gridCol w:w="2465"/>
        <w:gridCol w:w="1924"/>
      </w:tblGrid>
      <w:tr w14:paraId="06204D74">
        <w:trPr>
          <w:jc w:val="center"/>
        </w:trPr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40D3F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电源类型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078AC6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年发电量 (MWh)</w:t>
            </w:r>
          </w:p>
        </w:tc>
        <w:tc>
          <w:tcPr>
            <w:tcW w:w="255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D93B0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装机容量 (MW)</w:t>
            </w:r>
          </w:p>
        </w:tc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933031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利用小时 (h)</w:t>
            </w:r>
          </w:p>
        </w:tc>
      </w:tr>
      <w:tr w14:paraId="40A77617">
        <w:trPr>
          <w:jc w:val="center"/>
        </w:trPr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564CB9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煤电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98D343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XXX,XXX,XXX</w:t>
            </w:r>
          </w:p>
        </w:tc>
        <w:tc>
          <w:tcPr>
            <w:tcW w:w="2551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81CA8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05E60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</w:tr>
      <w:tr w14:paraId="09B0DEE1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C43FA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气电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99E28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XX,XXX,XXX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53C65F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65382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</w:tr>
      <w:tr w14:paraId="394B3A46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9CC4F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核电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4C73B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XXX,XXX,XXX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4C3B42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BAABBD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</w:tr>
      <w:tr w14:paraId="1ABCF4C4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7E0FF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水电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25AD3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XX,XXX,XXX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C2B4C8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4E1AC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</w:tr>
      <w:tr w14:paraId="5E26E8A8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C96E0C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风电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485B33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XX,XXX,XXX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1833B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201EF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</w:tr>
      <w:tr w14:paraId="39D0E0F6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D32191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光伏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8D5629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XX,XXX,XXX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0A1F30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F842B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</w:tr>
    </w:tbl>
    <w:p w14:paraId="19FEB2AE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2.3 系统成本构成</w:t>
      </w:r>
    </w:p>
    <w:p w14:paraId="334B8F6E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>5</w:t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>  系统成本构成图：各项成本占比与金额分布</w:t>
      </w:r>
    </w:p>
    <w:p w14:paraId="1DF49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表7系统成本构成表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417"/>
        <w:gridCol w:w="2268"/>
      </w:tblGrid>
      <w:tr w14:paraId="2404DDAB">
        <w:trPr>
          <w:jc w:val="center"/>
        </w:trPr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A14880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成本项目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C5885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金额（亿元）</w:t>
            </w:r>
          </w:p>
        </w:tc>
        <w:tc>
          <w:tcPr>
            <w:tcW w:w="141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864B1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占比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A39D6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性质</w:t>
            </w:r>
          </w:p>
        </w:tc>
      </w:tr>
      <w:tr w14:paraId="1F6BBC85">
        <w:trPr>
          <w:jc w:val="center"/>
        </w:trPr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27F96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存量煤电运行成本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230DA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X,XXX.XX</w:t>
            </w:r>
          </w:p>
        </w:tc>
        <w:tc>
          <w:tcPr>
            <w:tcW w:w="1417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91437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F7DBAB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正常运营成本</w:t>
            </w:r>
          </w:p>
        </w:tc>
      </w:tr>
      <w:tr w14:paraId="55D3EE31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A823B5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新能源建设/运行成本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CF779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X,XXX.XX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588185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98933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正常/惩罚性</w:t>
            </w:r>
          </w:p>
        </w:tc>
      </w:tr>
      <w:tr w14:paraId="654D96AC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577FEE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储能建设/运行成本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50056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XXX.XX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7E0D5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3B7E7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正常/惩罚性</w:t>
            </w:r>
          </w:p>
        </w:tc>
      </w:tr>
      <w:tr w14:paraId="6039ACED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07E60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缺电惩罚成本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26CA92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XXX.XX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51ED8E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C8DC4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惩罚性成本</w:t>
            </w:r>
          </w:p>
        </w:tc>
      </w:tr>
      <w:tr w14:paraId="77CFC70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CE470E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合计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2D5C99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E63DDF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100%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59CE1B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—</w:t>
            </w:r>
          </w:p>
        </w:tc>
      </w:tr>
    </w:tbl>
    <w:p w14:paraId="1481EDC5">
      <w:pPr>
        <w:spacing w:before="360" w:after="12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497D"/>
          <w:sz w:val="32"/>
        </w:rPr>
        <w:t>三、新能源消纳分析</w:t>
      </w:r>
    </w:p>
    <w:p w14:paraId="7CB31A5C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3.1 消纳总体情况</w:t>
      </w:r>
    </w:p>
    <w:p w14:paraId="22C4C08E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>6</w:t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>  新能源消纳情况图：风光发电量 vs 弃电量及利用率</w:t>
      </w:r>
    </w:p>
    <w:p w14:paraId="51D21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表8新能源消纳总体情况表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1984"/>
        <w:gridCol w:w="1984"/>
      </w:tblGrid>
      <w:tr w14:paraId="25A81D41">
        <w:trPr>
          <w:jc w:val="center"/>
        </w:trPr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E78AD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指标</w:t>
            </w:r>
          </w:p>
        </w:tc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AC57E0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风电</w:t>
            </w:r>
          </w:p>
        </w:tc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C6D52E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光伏</w:t>
            </w:r>
          </w:p>
        </w:tc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497B7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风光合计</w:t>
            </w:r>
          </w:p>
        </w:tc>
      </w:tr>
      <w:tr w14:paraId="4BA209CA">
        <w:trPr>
          <w:jc w:val="center"/>
        </w:trPr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04E14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发电量 (GWh)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AC528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145366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B4BB3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XXX,XXX</w:t>
            </w:r>
          </w:p>
        </w:tc>
      </w:tr>
      <w:tr w14:paraId="6E7C7D7F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EB557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弃电量 (GWh)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6BEAB7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43DBD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9D29A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</w:tr>
      <w:tr w14:paraId="047146A1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40F71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利用率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A6133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4F028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7F4F12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</w:tr>
      <w:tr w14:paraId="18EBFAF9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824ED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利用小时 (h)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1092B5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1C2B9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97B7F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—</w:t>
            </w:r>
          </w:p>
        </w:tc>
      </w:tr>
    </w:tbl>
    <w:p w14:paraId="061D8AF0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3.2 弃电量月度分布</w:t>
      </w:r>
    </w:p>
    <w:p w14:paraId="7F7E6286">
      <w:pPr>
        <w:spacing w:after="120" w:line="560" w:lineRule="exact"/>
        <w:ind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新能源弃电集中发生在【月份】，主要原因：【原因】。其余各月基本实现全额消纳。</w:t>
      </w:r>
    </w:p>
    <w:p w14:paraId="30A44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表9新能源消纳月度分布表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3402"/>
      </w:tblGrid>
      <w:tr w14:paraId="74138C61">
        <w:trPr>
          <w:jc w:val="center"/>
        </w:trPr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E9A89A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月份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05922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风电利用率</w:t>
            </w:r>
          </w:p>
        </w:tc>
        <w:tc>
          <w:tcPr>
            <w:tcW w:w="340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EF1218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光伏利用率</w:t>
            </w:r>
          </w:p>
        </w:tc>
      </w:tr>
      <w:tr w14:paraId="6867077D">
        <w:trPr>
          <w:jc w:val="center"/>
        </w:trPr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F3502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1月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5390BE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  <w:tc>
          <w:tcPr>
            <w:tcW w:w="3402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650B6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</w:tr>
      <w:tr w14:paraId="1F186371">
        <w:trPr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2C5E56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X月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77E69B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59442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</w:tr>
      <w:tr w14:paraId="44C0A6A2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C3E6B3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12月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FCCBE1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EBDD2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XX.XX%</w:t>
            </w:r>
          </w:p>
        </w:tc>
      </w:tr>
    </w:tbl>
    <w:p w14:paraId="28D36D4C">
      <w:pPr>
        <w:spacing w:before="120" w:after="120" w:line="560" w:lineRule="exact"/>
        <w:ind w:firstLine="640" w:firstLineChars="20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仿宋_GB2312" w:cs="Times New Roman Regular"/>
          <w:b w:val="0"/>
          <w:sz w:val="32"/>
        </w:rPr>
        <w:t>【消纳结论】新能源消纳整体【好/差】，主要挑战在于【季节/时段】的消纳困难，建议关注【季节】极端场景。</w:t>
      </w:r>
    </w:p>
    <w:p w14:paraId="2AF58509">
      <w:pPr>
        <w:spacing w:before="360" w:after="12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497D"/>
          <w:sz w:val="32"/>
        </w:rPr>
        <w:t>四、系统缺电分析</w:t>
      </w:r>
    </w:p>
    <w:p w14:paraId="084092EC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4.1 缺电总体情况</w:t>
      </w:r>
    </w:p>
    <w:p w14:paraId="065E8EC0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</w:t>
      </w:r>
      <w:r>
        <w:rPr>
          <w:rFonts w:hint="eastAsia" w:ascii="Times New Roman Regular" w:hAnsi="Times New Roman Regular" w:eastAsia="楷体_GB2312" w:cs="Times New Roman Regular"/>
          <w:sz w:val="28"/>
          <w:lang w:val="en-US" w:eastAsia="zh-CN"/>
        </w:rPr>
        <w:t>7</w:t>
      </w:r>
      <w:r>
        <w:rPr>
          <w:rFonts w:hint="default" w:ascii="Times New Roman Regular" w:hAnsi="Times New Roman Regular" w:eastAsia="楷体_GB2312" w:cs="Times New Roman Regular"/>
          <w:sz w:val="28"/>
        </w:rPr>
        <w:t xml:space="preserve">  系统缺电情况分析图：月度/季节/时段缺电分布</w:t>
      </w:r>
    </w:p>
    <w:p w14:paraId="6E4DE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表10系统缺电总体情况表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535"/>
      </w:tblGrid>
      <w:tr w14:paraId="101F7B98">
        <w:trPr>
          <w:jc w:val="center"/>
        </w:trPr>
        <w:tc>
          <w:tcPr>
            <w:tcW w:w="340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D8D883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指标</w:t>
            </w:r>
          </w:p>
        </w:tc>
        <w:tc>
          <w:tcPr>
            <w:tcW w:w="45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0790A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数值</w:t>
            </w:r>
          </w:p>
        </w:tc>
      </w:tr>
      <w:tr w14:paraId="0CC8EBD8">
        <w:trPr>
          <w:jc w:val="center"/>
        </w:trPr>
        <w:tc>
          <w:tcPr>
            <w:tcW w:w="3402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CBA6C9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全年电量不足</w:t>
            </w:r>
          </w:p>
        </w:tc>
        <w:tc>
          <w:tcPr>
            <w:tcW w:w="45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0E1EC0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 亿 kWh</w:t>
            </w:r>
          </w:p>
        </w:tc>
      </w:tr>
      <w:tr w14:paraId="53A009E2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9062E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最大电力缺口时刻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A7163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XXXX年X月X日 XX:00</w:t>
            </w:r>
          </w:p>
        </w:tc>
      </w:tr>
      <w:tr w14:paraId="02707BD4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17389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最大电力缺口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62929E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 MW</w:t>
            </w:r>
          </w:p>
        </w:tc>
      </w:tr>
      <w:tr w14:paraId="01012556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597C3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累计缺电小时数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9F1E5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约 X,XXX 小时</w:t>
            </w:r>
          </w:p>
        </w:tc>
      </w:tr>
      <w:tr w14:paraId="4F673CE4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FF2B4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缺电天数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429E6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约 XX 天</w:t>
            </w:r>
          </w:p>
        </w:tc>
      </w:tr>
    </w:tbl>
    <w:p w14:paraId="157ACA39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4.2 月度缺电分布</w:t>
      </w:r>
    </w:p>
    <w:p w14:paraId="1B6D7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表11月度缺电分布表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832"/>
        <w:gridCol w:w="2832"/>
        <w:gridCol w:w="1699"/>
      </w:tblGrid>
      <w:tr w14:paraId="363CBC4B">
        <w:trPr>
          <w:jc w:val="center"/>
        </w:trPr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1C8AB1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月份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DA7FF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最大电力缺口 (MW)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C0F86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电量不足 (GWh)</w:t>
            </w:r>
          </w:p>
        </w:tc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170C7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缺电严重程度</w:t>
            </w:r>
          </w:p>
        </w:tc>
      </w:tr>
      <w:tr w14:paraId="36723D2C">
        <w:trPr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9CE10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1月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DD077A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3A861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X.XX</w:t>
            </w:r>
          </w:p>
        </w:tc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30222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轻度</w:t>
            </w:r>
          </w:p>
        </w:tc>
      </w:tr>
      <w:tr w14:paraId="741B5CAD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39344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X月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B4C2CF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829EA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XX.XX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F089AE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严重</w:t>
            </w:r>
          </w:p>
        </w:tc>
      </w:tr>
      <w:tr w14:paraId="283A248F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2EB686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12月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0DD58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3559B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X.XX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13BEB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轻度</w:t>
            </w:r>
          </w:p>
        </w:tc>
      </w:tr>
    </w:tbl>
    <w:p w14:paraId="578956D4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4.3 典型缺电日分析</w:t>
      </w:r>
    </w:p>
    <w:p w14:paraId="241FA348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图8  典型缺电日负荷与资源出力曲线：全年最大缺口日负荷曲线、新能源出力及缺口分布</w:t>
      </w:r>
    </w:p>
    <w:p w14:paraId="6172543D">
      <w:pPr>
        <w:spacing w:after="120" w:line="560" w:lineRule="exact"/>
        <w:ind w:firstLine="64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全年最大缺口日：【日期】，缺口功率达 XX,XXX MW。</w:t>
      </w:r>
    </w:p>
    <w:p w14:paraId="611F4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表12典型缺电日分析表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268"/>
        <w:gridCol w:w="2268"/>
        <w:gridCol w:w="1701"/>
      </w:tblGrid>
      <w:tr w14:paraId="4F538CBA">
        <w:trPr>
          <w:jc w:val="center"/>
        </w:trPr>
        <w:tc>
          <w:tcPr>
            <w:tcW w:w="255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963C7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时段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FC0F2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负荷需求 (MW)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A0E649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新能源出力 (MW)</w:t>
            </w:r>
          </w:p>
        </w:tc>
        <w:tc>
          <w:tcPr>
            <w:tcW w:w="17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418501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缺口 (MW)</w:t>
            </w:r>
          </w:p>
        </w:tc>
      </w:tr>
      <w:tr w14:paraId="1109F252">
        <w:trPr>
          <w:jc w:val="center"/>
        </w:trPr>
        <w:tc>
          <w:tcPr>
            <w:tcW w:w="2551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D8435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日内高峰 (8-12时)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C9AEE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3FBF5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701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EC09CD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</w:tr>
      <w:tr w14:paraId="3303B241">
        <w:trPr>
          <w:jc w:val="center"/>
        </w:trPr>
        <w:tc>
          <w:tcPr>
            <w:tcW w:w="2551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28F3B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晚高峰 (18-21时)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B9C59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AA1690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0C01C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XXX</w:t>
            </w:r>
          </w:p>
        </w:tc>
      </w:tr>
    </w:tbl>
    <w:p w14:paraId="7326DFD7">
      <w:pPr>
        <w:spacing w:after="120" w:line="560" w:lineRule="exact"/>
        <w:ind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核心矛盾：</w:t>
      </w:r>
    </w:p>
    <w:p w14:paraId="2B3C9AE5">
      <w:pPr>
        <w:numPr>
          <w:ilvl w:val="0"/>
          <w:numId w:val="7"/>
        </w:numPr>
        <w:spacing w:after="120" w:line="560" w:lineRule="exact"/>
        <w:ind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新能源出力与负荷高峰时间错配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  <w:t>（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val="en-US" w:eastAsia="zh-CN"/>
        </w:rPr>
        <w:t>示例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  <w:t>）</w:t>
      </w:r>
    </w:p>
    <w:p w14:paraId="03DC6C0F">
      <w:pPr>
        <w:numPr>
          <w:ilvl w:val="0"/>
          <w:numId w:val="7"/>
        </w:numPr>
        <w:spacing w:after="120" w:line="560" w:lineRule="exact"/>
        <w:ind w:left="0" w:leftChars="0" w:firstLine="640" w:firstLineChars="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系统调节能力不足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  <w:t>（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val="en-US" w:eastAsia="zh-CN"/>
        </w:rPr>
        <w:t>示例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  <w:t>）</w:t>
      </w:r>
    </w:p>
    <w:p w14:paraId="4DABA80E">
      <w:pPr>
        <w:spacing w:after="120" w:line="560" w:lineRule="exact"/>
        <w:ind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  <w:lang w:val="en-US"/>
        </w:rPr>
        <w:t>3.</w:t>
      </w: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【其他原因】</w:t>
      </w:r>
    </w:p>
    <w:p w14:paraId="3CEAA080">
      <w:pPr>
        <w:spacing w:before="360" w:after="12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497D"/>
          <w:sz w:val="32"/>
        </w:rPr>
        <w:t>五、原因分析</w:t>
      </w:r>
    </w:p>
    <w:p w14:paraId="49911B5C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5.1 电源结构问题</w:t>
      </w:r>
    </w:p>
    <w:p w14:paraId="60156A56">
      <w:pPr>
        <w:spacing w:before="120" w:after="120" w:line="560" w:lineRule="exact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sz w:val="28"/>
        </w:rPr>
        <w:t>图9  电源结构问题分析雷达图：多维度评估系统灵活性、可靠性、经济性</w:t>
      </w:r>
    </w:p>
    <w:p w14:paraId="7A019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表13电源结构问题分析表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402"/>
      </w:tblGrid>
      <w:tr w14:paraId="24D56D8A">
        <w:trPr>
          <w:jc w:val="center"/>
        </w:trPr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7A814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问题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C3A0A4B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具体表现</w:t>
            </w:r>
          </w:p>
        </w:tc>
        <w:tc>
          <w:tcPr>
            <w:tcW w:w="340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0DCE6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影响</w:t>
            </w:r>
          </w:p>
        </w:tc>
      </w:tr>
      <w:tr w14:paraId="10116533">
        <w:trPr>
          <w:jc w:val="center"/>
        </w:trPr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B51AE3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新能源占比过高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B7D0E9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风光占比 XX%</w:t>
            </w:r>
          </w:p>
        </w:tc>
        <w:tc>
          <w:tcPr>
            <w:tcW w:w="3402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8C795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出力间歇性强，系统灵活性不足</w:t>
            </w:r>
          </w:p>
        </w:tc>
      </w:tr>
      <w:tr w14:paraId="2A54DAA2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D37D13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调节电源不足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4747B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气电+抽蓄仅 XX%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B3A0E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快速调节能力严重欠缺</w:t>
            </w:r>
          </w:p>
        </w:tc>
      </w:tr>
      <w:tr w14:paraId="75FC741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FBFE0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储能配置偏低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6E403B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新型储能仅 X,XXX MW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E8EF7B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难以平抑大规模波动</w:t>
            </w:r>
          </w:p>
        </w:tc>
      </w:tr>
      <w:tr w14:paraId="45419A1C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AA841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基荷电源偏少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942BC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煤电仅占 XX%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D40F2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系统支撑能力不足</w:t>
            </w:r>
          </w:p>
        </w:tc>
      </w:tr>
    </w:tbl>
    <w:p w14:paraId="19983941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5.2 各类电源出力特性分析</w:t>
      </w:r>
    </w:p>
    <w:p w14:paraId="389A1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560" w:lineRule="exact"/>
        <w:ind w:firstLine="560" w:firstLineChars="200"/>
        <w:jc w:val="both"/>
        <w:textAlignment w:val="auto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【煤电】利用小时数：XXXX h；主力调峰电源，问题：受限于最小技术出力和调峰深度。</w:t>
      </w:r>
    </w:p>
    <w:p w14:paraId="10436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560" w:lineRule="exact"/>
        <w:ind w:firstLine="560" w:firstLineChars="200"/>
        <w:jc w:val="both"/>
        <w:textAlignment w:val="auto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【水电】利用小时数：XXXX h；调节灵活，受来水情况影响。</w:t>
      </w:r>
    </w:p>
    <w:p w14:paraId="12B6B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560" w:lineRule="exact"/>
        <w:ind w:firstLine="560" w:firstLineChars="200"/>
        <w:jc w:val="both"/>
        <w:textAlignment w:val="auto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【风电】利用小时数：XXXX h；反调峰特性明显，冬季夜间低出力。</w:t>
      </w:r>
      <w:bookmarkStart w:id="0" w:name="_GoBack"/>
      <w:bookmarkEnd w:id="0"/>
    </w:p>
    <w:p w14:paraId="7BF78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560" w:lineRule="exact"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【光伏】利用小时数：XXXX h；夜间无出力，与晚高峰时间错配。</w:t>
      </w:r>
    </w:p>
    <w:p w14:paraId="1E7BA624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5.3 灵活性资源评估</w:t>
      </w:r>
    </w:p>
    <w:p w14:paraId="0AB84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表14灵活性资源评估表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984"/>
        <w:gridCol w:w="2268"/>
      </w:tblGrid>
      <w:tr w14:paraId="6638F0F5">
        <w:trPr>
          <w:jc w:val="center"/>
        </w:trPr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B552F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资源类型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8C19CE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装机 (MW)</w:t>
            </w:r>
          </w:p>
        </w:tc>
        <w:tc>
          <w:tcPr>
            <w:tcW w:w="19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A8C60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调节能力评级</w:t>
            </w:r>
          </w:p>
        </w:tc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12286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可用调节容量 (MW)</w:t>
            </w:r>
          </w:p>
        </w:tc>
      </w:tr>
      <w:tr w14:paraId="000C3238">
        <w:trPr>
          <w:jc w:val="center"/>
        </w:trPr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0E3C0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煤电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925228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9C9C0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★★★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B87F80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约 XX,XXX (50%可调)</w:t>
            </w:r>
          </w:p>
        </w:tc>
      </w:tr>
      <w:tr w14:paraId="25A9FD22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216733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水电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9F7570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XX,XXX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C60C0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★★★★★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85926A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约 XX,XXX (80%可调)</w:t>
            </w:r>
          </w:p>
        </w:tc>
      </w:tr>
      <w:tr w14:paraId="46F219E0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462A1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储能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BFF32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X,XXX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1870E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★★★★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4FA0CC3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约 X,XXX (100%可调)</w:t>
            </w:r>
          </w:p>
        </w:tc>
      </w:tr>
    </w:tbl>
    <w:p w14:paraId="58726D3C">
      <w:pPr>
        <w:spacing w:before="360" w:after="12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497D"/>
          <w:sz w:val="32"/>
        </w:rPr>
        <w:t>六、结论与建议</w:t>
      </w:r>
    </w:p>
    <w:p w14:paraId="41BB5D4F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6.1 主要结论</w:t>
      </w:r>
    </w:p>
    <w:p w14:paraId="37BAAD26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【结论1】系统【存在/无】显著电力缺口：全年最大缺口 XX,XXX MW（X月X日X时），全年电量缺口 XX.XX GWh。</w:t>
      </w:r>
    </w:p>
    <w:p w14:paraId="0902E5DB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【结论2】新能源消纳【良好/存在问题】：风光合计利用率 XX.XX%，主要弃电时段为【季节】。</w:t>
      </w:r>
    </w:p>
    <w:p w14:paraId="326B1957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【结论3】系统灵活性【不足/基本满足】：调节电源占比仅 XX%，【问题描述】。</w:t>
      </w:r>
    </w:p>
    <w:p w14:paraId="4E779493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【结论4】经济性【可接受/需优化】：惩罚性成本占比 XX%，主要原因为【原因】。</w:t>
      </w:r>
    </w:p>
    <w:p w14:paraId="6C8FC450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6.2 改进建议</w:t>
      </w:r>
    </w:p>
    <w:p w14:paraId="15C93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jc w:val="center"/>
        <w:textAlignment w:val="auto"/>
        <w:rPr>
          <w:rFonts w:hint="default" w:ascii="Times New Roman Regular" w:hAnsi="Times New Roman Regular" w:eastAsia="楷体_GB2312" w:cs="Times New Roman Regular"/>
          <w:b/>
          <w:sz w:val="28"/>
        </w:rPr>
      </w:pPr>
      <w:r>
        <w:rPr>
          <w:rFonts w:hint="default" w:ascii="Times New Roman Regular" w:hAnsi="Times New Roman Regular" w:eastAsia="楷体_GB2312" w:cs="Times New Roman Regular"/>
          <w:b/>
          <w:sz w:val="28"/>
        </w:rPr>
        <w:t>表15改进建议表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762"/>
        <w:gridCol w:w="2760"/>
        <w:gridCol w:w="1336"/>
      </w:tblGrid>
      <w:tr w14:paraId="28715C65">
        <w:trPr>
          <w:jc w:val="center"/>
        </w:trPr>
        <w:tc>
          <w:tcPr>
            <w:tcW w:w="22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0395D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措施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5C4AC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建议规模/内容</w:t>
            </w:r>
          </w:p>
        </w:tc>
        <w:tc>
          <w:tcPr>
            <w:tcW w:w="28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CDFB2D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预期效果</w:t>
            </w:r>
          </w:p>
        </w:tc>
        <w:tc>
          <w:tcPr>
            <w:tcW w:w="8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9FF611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 Regular" w:hAnsi="Times New Roman Regular" w:eastAsia="仿宋_GB2312" w:cs="Times New Roman Regular"/>
                <w:b/>
                <w:i w:val="0"/>
                <w:color w:val="000000" w:themeColor="dark1"/>
                <w:sz w:val="28"/>
                <w14:textFill>
                  <w14:solidFill>
                    <w14:schemeClr w14:val="dk1"/>
                  </w14:solidFill>
                </w14:textFill>
              </w:rPr>
              <w:t>优先级</w:t>
            </w:r>
          </w:p>
        </w:tc>
      </w:tr>
      <w:tr w14:paraId="37506E27">
        <w:trPr>
          <w:jc w:val="center"/>
        </w:trPr>
        <w:tc>
          <w:tcPr>
            <w:tcW w:w="2268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B7D91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增加储能配置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8F32F4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新增 X-X GW / XX-XX GWh</w:t>
            </w:r>
          </w:p>
        </w:tc>
        <w:tc>
          <w:tcPr>
            <w:tcW w:w="2835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4BD5F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平抑新能源波动，提供灵活性</w:t>
            </w:r>
          </w:p>
        </w:tc>
        <w:tc>
          <w:tcPr>
            <w:tcW w:w="850" w:type="dxa"/>
            <w:tcBorders>
              <w:top w:val="single" w:color="000000" w:themeColor="dark1" w:sz="6" w:space="0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8856E1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</w:t>
            </w:r>
          </w:p>
        </w:tc>
      </w:tr>
      <w:tr w14:paraId="7F89FF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5B5A4E2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增加气电/抽蓄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454485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新建 X-X GW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07D1DF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提升快速调节能力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42D404A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★★★★</w:t>
            </w:r>
          </w:p>
        </w:tc>
      </w:tr>
      <w:tr w14:paraId="57A8067F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E36898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优化调度策略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00F167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精细化日前/日内调度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04DAC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减少备用需求，提高可靠性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5D20CD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★★★</w:t>
            </w:r>
          </w:p>
        </w:tc>
      </w:tr>
      <w:tr w14:paraId="06BDEC85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CAA3D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需求侧响应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6C094C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引导用户错峰用电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A053889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削峰填谷，缓解晚高峰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99EF1E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★★★</w:t>
            </w:r>
          </w:p>
        </w:tc>
      </w:tr>
      <w:tr w14:paraId="7697DCC3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DE712E4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跨区互济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B6D98F0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增加外受电能力 X-X GW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C31946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余缺互济，提高可靠性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themeColor="dark1" w:sz="12" w:space="0"/>
              <w:right w:val="nil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C3E289F">
            <w:pPr>
              <w:spacing w:before="0" w:after="0" w:line="440" w:lineRule="exact"/>
              <w:jc w:val="center"/>
              <w:rPr>
                <w:rFonts w:hint="default" w:ascii="Times New Roman Regular" w:hAnsi="Times New Roman Regular" w:cs="Times New Roman Regular"/>
                <w:b w:val="0"/>
                <w:i w:val="0"/>
                <w:color w:val="08090C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i w:val="0"/>
                <w:color w:val="08090C"/>
                <w:sz w:val="28"/>
              </w:rPr>
              <w:t>★★</w:t>
            </w:r>
          </w:p>
        </w:tc>
      </w:tr>
    </w:tbl>
    <w:p w14:paraId="4A387C87">
      <w:pPr>
        <w:spacing w:before="240" w:after="80" w:line="560" w:lineRule="exact"/>
        <w:ind w:firstLine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楷体_GB2312" w:cs="Times New Roman Regular"/>
          <w:b/>
          <w:color w:val="2E75B6"/>
          <w:sz w:val="32"/>
        </w:rPr>
        <w:t>6.3 敏感性分析建议</w:t>
      </w:r>
    </w:p>
    <w:p w14:paraId="7466DBEC">
      <w:pPr>
        <w:spacing w:after="120" w:line="560" w:lineRule="exact"/>
        <w:ind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建议开展以下敏感性分析：</w:t>
      </w:r>
    </w:p>
    <w:p w14:paraId="47D93930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【保供侧敏感性】提高煤电或储能可靠出力，观察最大缺口和缺电量下降斜率；</w:t>
      </w:r>
    </w:p>
    <w:p w14:paraId="2C4322B1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【消纳侧敏感性】增强储能能量时长或加入可调负荷，观察弃电量改善幅度；</w:t>
      </w:r>
    </w:p>
    <w:p w14:paraId="3AE05EFD">
      <w:pPr>
        <w:spacing w:after="60" w:line="560" w:lineRule="exact"/>
        <w:ind w:left="425" w:firstLine="640"/>
        <w:jc w:val="both"/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仿宋_GB2312" w:cs="Times New Roman Regular"/>
          <w:b w:val="0"/>
          <w:sz w:val="28"/>
          <w:szCs w:val="28"/>
        </w:rPr>
        <w:t>【成本敏感性】调整惩罚成本系数，观察系统调度策略和经济性变化。</w:t>
      </w:r>
    </w:p>
    <w:p w14:paraId="25E3B372">
      <w:pPr>
        <w:spacing w:after="60" w:line="560" w:lineRule="exact"/>
        <w:ind w:left="425" w:firstLine="640"/>
        <w:jc w:val="both"/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</w:pP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  <w:t>【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val="en-US" w:eastAsia="zh-CN"/>
        </w:rPr>
        <w:t>其他</w:t>
      </w:r>
      <w:r>
        <w:rPr>
          <w:rFonts w:hint="eastAsia" w:ascii="Times New Roman Regular" w:hAnsi="Times New Roman Regular" w:eastAsia="仿宋_GB2312" w:cs="Times New Roman Regular"/>
          <w:b w:val="0"/>
          <w:sz w:val="28"/>
          <w:szCs w:val="28"/>
          <w:lang w:eastAsia="zh-CN"/>
        </w:rPr>
        <w:t>】</w:t>
      </w: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CE510"/>
    <w:multiLevelType w:val="singleLevel"/>
    <w:tmpl w:val="D15CE5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E144A"/>
    <w:rsid w:val="3A3F9D0E"/>
    <w:rsid w:val="3CFED3E4"/>
    <w:rsid w:val="3EE3CE9B"/>
    <w:rsid w:val="3FD8C86B"/>
    <w:rsid w:val="3FFE608A"/>
    <w:rsid w:val="47F9CBBA"/>
    <w:rsid w:val="54F766ED"/>
    <w:rsid w:val="5CFDF81D"/>
    <w:rsid w:val="5CFF3171"/>
    <w:rsid w:val="5DF7A5F0"/>
    <w:rsid w:val="5F5921E1"/>
    <w:rsid w:val="5FDFD01D"/>
    <w:rsid w:val="5FF7187E"/>
    <w:rsid w:val="5FFD42B3"/>
    <w:rsid w:val="61F127C1"/>
    <w:rsid w:val="6BDE1FD5"/>
    <w:rsid w:val="6EFF9F4C"/>
    <w:rsid w:val="6F6FB3CD"/>
    <w:rsid w:val="704B082B"/>
    <w:rsid w:val="719B68E4"/>
    <w:rsid w:val="73FE860A"/>
    <w:rsid w:val="75AA556C"/>
    <w:rsid w:val="7B366BF2"/>
    <w:rsid w:val="7BFB889D"/>
    <w:rsid w:val="7DBFFE0E"/>
    <w:rsid w:val="7DE27598"/>
    <w:rsid w:val="7DEF446B"/>
    <w:rsid w:val="7DF53D6F"/>
    <w:rsid w:val="7DFF9DC1"/>
    <w:rsid w:val="7F3F6FB6"/>
    <w:rsid w:val="7F6F4C4D"/>
    <w:rsid w:val="7F6FA2F3"/>
    <w:rsid w:val="7F7B4FD5"/>
    <w:rsid w:val="7F9DFEBA"/>
    <w:rsid w:val="7F9E34FA"/>
    <w:rsid w:val="7FBC169A"/>
    <w:rsid w:val="7FF7759B"/>
    <w:rsid w:val="7FFF4CE5"/>
    <w:rsid w:val="7FFF5512"/>
    <w:rsid w:val="9EB4689B"/>
    <w:rsid w:val="9F2F2205"/>
    <w:rsid w:val="9F7F2AFE"/>
    <w:rsid w:val="A6A7B50A"/>
    <w:rsid w:val="A75BBA5E"/>
    <w:rsid w:val="AD7AC814"/>
    <w:rsid w:val="AEFD5E62"/>
    <w:rsid w:val="B6FF27B8"/>
    <w:rsid w:val="B7BDEB57"/>
    <w:rsid w:val="BDD5B443"/>
    <w:rsid w:val="BF6311E8"/>
    <w:rsid w:val="CA1FCE28"/>
    <w:rsid w:val="CDF678D3"/>
    <w:rsid w:val="CFF54152"/>
    <w:rsid w:val="D67EB3DA"/>
    <w:rsid w:val="DAFBB2E3"/>
    <w:rsid w:val="DB7F7A28"/>
    <w:rsid w:val="DBF57E16"/>
    <w:rsid w:val="DEEF4083"/>
    <w:rsid w:val="DFFB8E89"/>
    <w:rsid w:val="E5BFE2CB"/>
    <w:rsid w:val="E7FEB9F5"/>
    <w:rsid w:val="E8979968"/>
    <w:rsid w:val="EEDF55FE"/>
    <w:rsid w:val="EF7FCEEE"/>
    <w:rsid w:val="EFED2897"/>
    <w:rsid w:val="F4D776FC"/>
    <w:rsid w:val="F557F30C"/>
    <w:rsid w:val="F55DDF6A"/>
    <w:rsid w:val="F6FD17BA"/>
    <w:rsid w:val="F75F2EC6"/>
    <w:rsid w:val="F77F06AF"/>
    <w:rsid w:val="F7FD84D5"/>
    <w:rsid w:val="F9FF451D"/>
    <w:rsid w:val="FAD7DAE1"/>
    <w:rsid w:val="FB7F30AD"/>
    <w:rsid w:val="FB8EA017"/>
    <w:rsid w:val="FBFFA65E"/>
    <w:rsid w:val="FCBF3DA6"/>
    <w:rsid w:val="FD5BAA55"/>
    <w:rsid w:val="FD750C45"/>
    <w:rsid w:val="FDBBAC81"/>
    <w:rsid w:val="FDFB8F60"/>
    <w:rsid w:val="FDFD9D56"/>
    <w:rsid w:val="FE1F0127"/>
    <w:rsid w:val="FEAAF4C2"/>
    <w:rsid w:val="FFA990F4"/>
    <w:rsid w:val="FFD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Ascii" w:hAnsiTheme="minorAscii" w:eastAsiaTheme="minorEastAsia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张润丰</cp:lastModifiedBy>
  <dcterms:modified xsi:type="dcterms:W3CDTF">2026-04-30T11:10:04Z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C4A15686EBE2D3BC22C4F2695203A302_42</vt:lpwstr>
  </property>
</Properties>
</file>