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Poppins" w:cs="Poppins" w:eastAsia="Poppins" w:hAnsi="Poppins"/>
          <w:b/>
          <w:bCs/>
          <w:color w:val="2C3E7A"/>
          <w:sz w:val="36"/>
          <w:szCs w:val="36"/>
        </w:rPr>
        <w:t xml:space="preserve">CYBERSECURITY INCIDENT REPORT</w:t>
      </w:r>
    </w:p>
    <w:p>
      <w:pPr>
        <w:spacing w:after="300"/>
        <w:jc w:val="center"/>
      </w:pPr>
      <w:r>
        <w:rPr>
          <w:rFonts w:ascii="Poppins" w:cs="Poppins" w:eastAsia="Poppins" w:hAnsi="Poppins"/>
          <w:i/>
          <w:iCs/>
          <w:color w:val="444444"/>
          <w:sz w:val="24"/>
          <w:szCs w:val="24"/>
        </w:rPr>
        <w:t xml:space="preserve">NIST Cybersecurity Framework Analysis</w:t>
      </w:r>
    </w:p>
    <w:tbl>
      <w:tblPr>
        <w:tblW w:type="pct" w:w="100%"/>
        <w:tblBorders>
          <w:top w:val="single" w:color="000000" w:sz="8"/>
          <w:left w:val="single" w:color="000000" w:sz="8"/>
          <w:bottom w:val="single" w:color="000000" w:sz="8"/>
          <w:right w:val="single" w:color="000000" w:sz="8"/>
          <w:insideH w:val="single" w:color="auto" w:sz="4"/>
          <w:insideV w:val="single" w:color="auto" w:sz="4"/>
        </w:tblBorders>
      </w:tblPr>
      <w:tblGrid>
        <w:gridCol w:w="100"/>
        <w:gridCol w:w="100"/>
        <w:gridCol w:w="100"/>
        <w:gridCol w:w="100"/>
      </w:tblGrid>
      <w:tr>
        <w:tc>
          <w:tcPr>
            <w:tcBorders>
              <w:top w:val="single" w:color="000000" w:sz="8"/>
              <w:left w:val="single" w:color="000000" w:sz="8"/>
              <w:bottom w:val="single" w:color="000000" w:sz="8"/>
              <w:right w:val="single" w:color="000000" w:sz="8"/>
            </w:tcBorders>
            <w:shd w:fill="D9E1F2" w:val="clear"/>
            <w:tcMar>
              <w:top w:type="dxa" w:w="100"/>
              <w:left w:type="dxa" w:w="120"/>
              <w:bottom w:type="dxa" w:w="100"/>
              <w:right w:type="dxa" w:w="120"/>
            </w:tcMar>
          </w:tcPr>
          <w:p>
            <w:r>
              <w:rPr>
                <w:rFonts w:ascii="Poppins" w:cs="Poppins" w:eastAsia="Poppins" w:hAnsi="Poppins"/>
                <w:b/>
                <w:bCs/>
                <w:sz w:val="22"/>
                <w:szCs w:val="22"/>
              </w:rPr>
              <w:t xml:space="preserve">Prepared by</w:t>
            </w:r>
          </w:p>
        </w:tc>
        <w:tc>
          <w:tcPr>
            <w:tcBorders>
              <w:top w:val="single" w:color="000000" w:sz="8"/>
              <w:left w:val="single" w:color="000000" w:sz="8"/>
              <w:bottom w:val="single" w:color="000000" w:sz="8"/>
              <w:right w:val="single" w:color="000000" w:sz="8"/>
            </w:tcBorders>
            <w:tcMar>
              <w:top w:type="dxa" w:w="100"/>
              <w:left w:type="dxa" w:w="120"/>
              <w:bottom w:type="dxa" w:w="100"/>
              <w:right w:type="dxa" w:w="120"/>
            </w:tcMar>
          </w:tcPr>
          <w:p>
            <w:r>
              <w:rPr>
                <w:rFonts w:ascii="Poppins" w:cs="Poppins" w:eastAsia="Poppins" w:hAnsi="Poppins"/>
                <w:sz w:val="22"/>
                <w:szCs w:val="22"/>
              </w:rPr>
              <w:t xml:space="preserve">Ishaque Otabil</w:t>
            </w:r>
          </w:p>
        </w:tc>
        <w:tc>
          <w:tcPr>
            <w:tcBorders>
              <w:top w:val="single" w:color="000000" w:sz="8"/>
              <w:left w:val="single" w:color="000000" w:sz="8"/>
              <w:bottom w:val="single" w:color="000000" w:sz="8"/>
              <w:right w:val="single" w:color="000000" w:sz="8"/>
            </w:tcBorders>
            <w:shd w:fill="D9E1F2" w:val="clear"/>
            <w:tcMar>
              <w:top w:type="dxa" w:w="100"/>
              <w:left w:type="dxa" w:w="120"/>
              <w:bottom w:type="dxa" w:w="100"/>
              <w:right w:type="dxa" w:w="120"/>
            </w:tcMar>
          </w:tcPr>
          <w:p>
            <w:r>
              <w:rPr>
                <w:rFonts w:ascii="Poppins" w:cs="Poppins" w:eastAsia="Poppins" w:hAnsi="Poppins"/>
                <w:b/>
                <w:bCs/>
                <w:sz w:val="22"/>
                <w:szCs w:val="22"/>
              </w:rPr>
              <w:t xml:space="preserve">Date</w:t>
            </w:r>
          </w:p>
        </w:tc>
        <w:tc>
          <w:tcPr>
            <w:tcBorders>
              <w:top w:val="single" w:color="000000" w:sz="8"/>
              <w:left w:val="single" w:color="000000" w:sz="8"/>
              <w:bottom w:val="single" w:color="000000" w:sz="8"/>
              <w:right w:val="single" w:color="000000" w:sz="8"/>
            </w:tcBorders>
            <w:tcMar>
              <w:top w:type="dxa" w:w="100"/>
              <w:left w:type="dxa" w:w="120"/>
              <w:bottom w:type="dxa" w:w="100"/>
              <w:right w:type="dxa" w:w="120"/>
            </w:tcMar>
          </w:tcPr>
          <w:p>
            <w:r>
              <w:rPr>
                <w:rFonts w:ascii="Poppins" w:cs="Poppins" w:eastAsia="Poppins" w:hAnsi="Poppins"/>
                <w:sz w:val="22"/>
                <w:szCs w:val="22"/>
              </w:rPr>
              <w:t xml:space="preserve">May 2026</w:t>
            </w:r>
          </w:p>
        </w:tc>
      </w:tr>
      <w:tr>
        <w:tc>
          <w:tcPr>
            <w:tcBorders>
              <w:top w:val="single" w:color="000000" w:sz="8"/>
              <w:left w:val="single" w:color="000000" w:sz="8"/>
              <w:bottom w:val="single" w:color="000000" w:sz="8"/>
              <w:right w:val="single" w:color="000000" w:sz="8"/>
            </w:tcBorders>
            <w:shd w:fill="D9E1F2" w:val="clear"/>
            <w:tcMar>
              <w:top w:type="dxa" w:w="100"/>
              <w:left w:type="dxa" w:w="120"/>
              <w:bottom w:type="dxa" w:w="100"/>
              <w:right w:type="dxa" w:w="120"/>
            </w:tcMar>
          </w:tcPr>
          <w:p>
            <w:r>
              <w:rPr>
                <w:rFonts w:ascii="Poppins" w:cs="Poppins" w:eastAsia="Poppins" w:hAnsi="Poppins"/>
                <w:b/>
                <w:bCs/>
                <w:sz w:val="22"/>
                <w:szCs w:val="22"/>
              </w:rPr>
              <w:t xml:space="preserve">Organisation</w:t>
            </w:r>
          </w:p>
        </w:tc>
        <w:tc>
          <w:tcPr>
            <w:tcBorders>
              <w:top w:val="single" w:color="000000" w:sz="8"/>
              <w:left w:val="single" w:color="000000" w:sz="8"/>
              <w:bottom w:val="single" w:color="000000" w:sz="8"/>
              <w:right w:val="single" w:color="000000" w:sz="8"/>
            </w:tcBorders>
            <w:tcMar>
              <w:top w:type="dxa" w:w="100"/>
              <w:left w:type="dxa" w:w="120"/>
              <w:bottom w:type="dxa" w:w="100"/>
              <w:right w:type="dxa" w:w="120"/>
            </w:tcMar>
          </w:tcPr>
          <w:p>
            <w:r>
              <w:rPr>
                <w:rFonts w:ascii="Poppins" w:cs="Poppins" w:eastAsia="Poppins" w:hAnsi="Poppins"/>
                <w:sz w:val="22"/>
                <w:szCs w:val="22"/>
              </w:rPr>
              <w:t xml:space="preserve">Multimedia Company (Fictional)</w:t>
            </w:r>
          </w:p>
        </w:tc>
        <w:tc>
          <w:tcPr>
            <w:tcBorders>
              <w:top w:val="single" w:color="000000" w:sz="8"/>
              <w:left w:val="single" w:color="000000" w:sz="8"/>
              <w:bottom w:val="single" w:color="000000" w:sz="8"/>
              <w:right w:val="single" w:color="000000" w:sz="8"/>
            </w:tcBorders>
            <w:shd w:fill="D9E1F2" w:val="clear"/>
            <w:tcMar>
              <w:top w:type="dxa" w:w="100"/>
              <w:left w:type="dxa" w:w="120"/>
              <w:bottom w:type="dxa" w:w="100"/>
              <w:right w:type="dxa" w:w="120"/>
            </w:tcMar>
          </w:tcPr>
          <w:p>
            <w:r>
              <w:rPr>
                <w:rFonts w:ascii="Poppins" w:cs="Poppins" w:eastAsia="Poppins" w:hAnsi="Poppins"/>
                <w:b/>
                <w:bCs/>
                <w:sz w:val="22"/>
                <w:szCs w:val="22"/>
              </w:rPr>
              <w:t xml:space="preserve">Framework</w:t>
            </w:r>
          </w:p>
        </w:tc>
        <w:tc>
          <w:tcPr>
            <w:tcBorders>
              <w:top w:val="single" w:color="000000" w:sz="8"/>
              <w:left w:val="single" w:color="000000" w:sz="8"/>
              <w:bottom w:val="single" w:color="000000" w:sz="8"/>
              <w:right w:val="single" w:color="000000" w:sz="8"/>
            </w:tcBorders>
            <w:tcMar>
              <w:top w:type="dxa" w:w="100"/>
              <w:left w:type="dxa" w:w="120"/>
              <w:bottom w:type="dxa" w:w="100"/>
              <w:right w:type="dxa" w:w="120"/>
            </w:tcMar>
          </w:tcPr>
          <w:p>
            <w:r>
              <w:rPr>
                <w:rFonts w:ascii="Poppins" w:cs="Poppins" w:eastAsia="Poppins" w:hAnsi="Poppins"/>
                <w:sz w:val="22"/>
                <w:szCs w:val="22"/>
              </w:rPr>
              <w:t xml:space="preserve">NIST CSF</w:t>
            </w:r>
          </w:p>
        </w:tc>
      </w:tr>
    </w:tbl>
    <w:p>
      <w:pPr>
        <w:spacing w:after="200"/>
      </w:pPr>
      <w:r>
        <w:t xml:space="preserve"/>
      </w:r>
    </w:p>
    <w:p>
      <w:pPr>
        <w:pStyle w:val="Heading1"/>
        <w:spacing w:after="120" w:before="300"/>
      </w:pPr>
      <w:r>
        <w:rPr>
          <w:rFonts w:ascii="Poppins" w:cs="Poppins" w:eastAsia="Poppins" w:hAnsi="Poppins"/>
          <w:b/>
          <w:bCs/>
          <w:color w:val="2C3E7A"/>
          <w:sz w:val="28"/>
          <w:szCs w:val="28"/>
        </w:rPr>
        <w:t xml:space="preserve">1. Incident Overview</w:t>
      </w:r>
    </w:p>
    <w:p>
      <w:pPr>
        <w:spacing w:after="120" w:line="320" w:lineRule="auto"/>
      </w:pPr>
      <w:r>
        <w:rPr>
          <w:rFonts w:ascii="Poppins" w:cs="Poppins" w:eastAsia="Poppins" w:hAnsi="Poppins"/>
          <w:sz w:val="22"/>
          <w:szCs w:val="22"/>
        </w:rPr>
        <w:t xml:space="preserve">This report documents a cybersecurity incident involving a Denial of Service (DoS) attack that targeted a multimedia company offering web design, graphic design, and social media marketing services. The attack disrupted internal network operations for approximately two hours and was analysed using the NIST Cybersecurity Framework (CSF).</w:t>
      </w:r>
    </w:p>
    <w:p>
      <w:pPr>
        <w:pStyle w:val="Heading1"/>
        <w:spacing w:after="120" w:before="300"/>
      </w:pPr>
      <w:r>
        <w:rPr>
          <w:rFonts w:ascii="Poppins" w:cs="Poppins" w:eastAsia="Poppins" w:hAnsi="Poppins"/>
          <w:b/>
          <w:bCs/>
          <w:color w:val="2C3E7A"/>
          <w:sz w:val="28"/>
          <w:szCs w:val="28"/>
        </w:rPr>
        <w:t xml:space="preserve">2. Incident Summary</w:t>
      </w:r>
    </w:p>
    <w:p>
      <w:pPr>
        <w:spacing w:after="120" w:line="320" w:lineRule="auto"/>
      </w:pPr>
      <w:r>
        <w:rPr>
          <w:rFonts w:ascii="Poppins" w:cs="Poppins" w:eastAsia="Poppins" w:hAnsi="Poppins"/>
          <w:sz w:val="22"/>
          <w:szCs w:val="22"/>
        </w:rPr>
        <w:t xml:space="preserve">A threat actor flooded the company's internal network with ICMP packets through an unconfigured firewall, resulting in a DoS attack. The flood of ICMP pings overwhelmed the network, making all internal resources inaccessible to staff for approximately two hours. The incident management team responded by blocking incoming ICMP packets, taking non-critical network services offline, and restoring critical services. The root cause was an unconfigured firewall that had no rules in place to limit or filter incoming ICMP traffic.</w:t>
      </w:r>
    </w:p>
    <w:p>
      <w:pPr>
        <w:spacing w:after="200"/>
      </w:pPr>
      <w:r>
        <w:t xml:space="preserve"/>
      </w:r>
    </w:p>
    <w:p>
      <w:pPr>
        <w:pStyle w:val="Heading1"/>
        <w:spacing w:after="120" w:before="300"/>
      </w:pPr>
      <w:r>
        <w:rPr>
          <w:rFonts w:ascii="Poppins" w:cs="Poppins" w:eastAsia="Poppins" w:hAnsi="Poppins"/>
          <w:b/>
          <w:bCs/>
          <w:color w:val="2C3E7A"/>
          <w:sz w:val="28"/>
          <w:szCs w:val="28"/>
        </w:rPr>
        <w:t xml:space="preserve">3. NIST CSF Analysis</w:t>
      </w:r>
    </w:p>
    <w:p>
      <w:pPr>
        <w:spacing w:after="120" w:line="320" w:lineRule="auto"/>
      </w:pPr>
      <w:r>
        <w:rPr>
          <w:rFonts w:ascii="Poppins" w:cs="Poppins" w:eastAsia="Poppins" w:hAnsi="Poppins"/>
          <w:sz w:val="22"/>
          <w:szCs w:val="22"/>
        </w:rPr>
        <w:t xml:space="preserve">The following table documents the incident analysis using the five core functions of the NIST Cybersecurity Framework.</w:t>
      </w:r>
    </w:p>
    <w:p>
      <w:pPr>
        <w:spacing w:after="120"/>
      </w:pPr>
      <w:r>
        <w:t xml:space="preserve"/>
      </w:r>
    </w:p>
    <w:tbl>
      <w:tblPr>
        <w:tblW w:type="pct" w:w="100%"/>
        <w:tblBorders>
          <w:top w:val="single" w:color="000000" w:sz="8"/>
          <w:left w:val="single" w:color="000000" w:sz="8"/>
          <w:bottom w:val="single" w:color="000000" w:sz="8"/>
          <w:right w:val="single" w:color="000000" w:sz="8"/>
          <w:insideH w:val="single" w:color="auto" w:sz="4"/>
          <w:insideV w:val="single" w:color="auto" w:sz="4"/>
        </w:tblBorders>
      </w:tblPr>
      <w:tblGrid>
        <w:gridCol w:w="100"/>
        <w:gridCol w:w="100"/>
      </w:tblGrid>
      <w:tr>
        <w:tc>
          <w:tcPr>
            <w:gridSpan w:val="2"/>
            <w:tcBorders>
              <w:top w:val="single" w:color="000000" w:sz="8"/>
              <w:left w:val="single" w:color="000000" w:sz="8"/>
              <w:bottom w:val="single" w:color="000000" w:sz="8"/>
              <w:right w:val="single" w:color="000000" w:sz="8"/>
            </w:tcBorders>
            <w:shd w:fill="2C3E7A" w:val="clear"/>
            <w:tcMar>
              <w:top w:type="dxa" w:w="100"/>
              <w:left w:type="dxa" w:w="120"/>
              <w:bottom w:type="dxa" w:w="100"/>
              <w:right w:type="dxa" w:w="120"/>
            </w:tcMar>
          </w:tcPr>
          <w:p>
            <w:r>
              <w:rPr>
                <w:rFonts w:ascii="Poppins" w:cs="Poppins" w:eastAsia="Poppins" w:hAnsi="Poppins"/>
                <w:b/>
                <w:bCs/>
                <w:color w:val="FFFFFF"/>
                <w:sz w:val="24"/>
                <w:szCs w:val="24"/>
              </w:rPr>
              <w:t xml:space="preserve">Identify</w:t>
            </w:r>
          </w:p>
        </w:tc>
      </w:tr>
      <w:tr>
        <w:tc>
          <w:tcPr>
            <w:tcW w:type="dxa" w:w="2000"/>
            <w:tcBorders>
              <w:top w:val="single" w:color="000000" w:sz="8"/>
              <w:left w:val="single" w:color="000000" w:sz="8"/>
              <w:bottom w:val="single" w:color="000000" w:sz="8"/>
              <w:right w:val="single" w:color="000000" w:sz="8"/>
            </w:tcBorders>
            <w:shd w:fill="D9E1F2" w:val="clear"/>
            <w:tcMar>
              <w:top w:type="dxa" w:w="100"/>
              <w:left w:type="dxa" w:w="120"/>
              <w:bottom w:type="dxa" w:w="100"/>
              <w:right w:type="dxa" w:w="120"/>
            </w:tcMar>
            <w:vAlign w:val="top"/>
          </w:tcPr>
          <w:p>
            <w:r>
              <w:rPr>
                <w:rFonts w:ascii="Poppins" w:cs="Poppins" w:eastAsia="Poppins" w:hAnsi="Poppins"/>
                <w:b/>
                <w:bCs/>
                <w:sz w:val="22"/>
                <w:szCs w:val="22"/>
              </w:rPr>
              <w:t xml:space="preserve">Attack Type</w:t>
            </w:r>
          </w:p>
        </w:tc>
        <w:tc>
          <w:tcPr>
            <w:tcBorders>
              <w:top w:val="single" w:color="000000" w:sz="8"/>
              <w:left w:val="single" w:color="000000" w:sz="8"/>
              <w:bottom w:val="single" w:color="000000" w:sz="8"/>
              <w:right w:val="single" w:color="000000" w:sz="8"/>
            </w:tcBorders>
            <w:shd w:fill="EEF2FF" w:val="clear"/>
            <w:tcMar>
              <w:top w:type="dxa" w:w="100"/>
              <w:left w:type="dxa" w:w="120"/>
              <w:bottom w:type="dxa" w:w="100"/>
              <w:right w:type="dxa" w:w="120"/>
            </w:tcMar>
            <w:vAlign w:val="top"/>
          </w:tcPr>
          <w:p>
            <w:pPr>
              <w:spacing w:line="320" w:lineRule="auto"/>
            </w:pPr>
            <w:r>
              <w:rPr>
                <w:rFonts w:ascii="Poppins" w:cs="Poppins" w:eastAsia="Poppins" w:hAnsi="Poppins"/>
                <w:sz w:val="22"/>
                <w:szCs w:val="22"/>
              </w:rPr>
              <w:t xml:space="preserve">ICMP Flood, a type of Denial of Service (DoS) attack.</w:t>
            </w:r>
          </w:p>
        </w:tc>
      </w:tr>
      <w:tr>
        <w:tc>
          <w:tcPr>
            <w:tcW w:type="dxa" w:w="2000"/>
            <w:tcBorders>
              <w:top w:val="single" w:color="000000" w:sz="8"/>
              <w:left w:val="single" w:color="000000" w:sz="8"/>
              <w:bottom w:val="single" w:color="000000" w:sz="8"/>
              <w:right w:val="single" w:color="000000" w:sz="8"/>
            </w:tcBorders>
            <w:shd w:fill="D9E1F2" w:val="clear"/>
            <w:tcMar>
              <w:top w:type="dxa" w:w="100"/>
              <w:left w:type="dxa" w:w="120"/>
              <w:bottom w:type="dxa" w:w="100"/>
              <w:right w:type="dxa" w:w="120"/>
            </w:tcMar>
            <w:vAlign w:val="top"/>
          </w:tcPr>
          <w:p>
            <w:r>
              <w:rPr>
                <w:rFonts w:ascii="Poppins" w:cs="Poppins" w:eastAsia="Poppins" w:hAnsi="Poppins"/>
                <w:b/>
                <w:bCs/>
                <w:sz w:val="22"/>
                <w:szCs w:val="22"/>
              </w:rPr>
              <w:t xml:space="preserve">Systems Affected</w:t>
            </w:r>
          </w:p>
        </w:tc>
        <w:tc>
          <w:tcPr>
            <w:tcBorders>
              <w:top w:val="single" w:color="000000" w:sz="8"/>
              <w:left w:val="single" w:color="000000" w:sz="8"/>
              <w:bottom w:val="single" w:color="000000" w:sz="8"/>
              <w:right w:val="single" w:color="000000" w:sz="8"/>
            </w:tcBorders>
            <w:shd w:fill="FFFFFF" w:val="clear"/>
            <w:tcMar>
              <w:top w:type="dxa" w:w="100"/>
              <w:left w:type="dxa" w:w="120"/>
              <w:bottom w:type="dxa" w:w="100"/>
              <w:right w:type="dxa" w:w="120"/>
            </w:tcMar>
            <w:vAlign w:val="top"/>
          </w:tcPr>
          <w:p>
            <w:pPr>
              <w:spacing w:line="320" w:lineRule="auto"/>
            </w:pPr>
            <w:r>
              <w:rPr>
                <w:rFonts w:ascii="Poppins" w:cs="Poppins" w:eastAsia="Poppins" w:hAnsi="Poppins"/>
                <w:sz w:val="22"/>
                <w:szCs w:val="22"/>
              </w:rPr>
              <w:t xml:space="preserve">The entire internal network was impacted. All network resources became inaccessible to internal staff for approximately two hours.</w:t>
            </w:r>
          </w:p>
        </w:tc>
      </w:tr>
      <w:tr>
        <w:tc>
          <w:tcPr>
            <w:tcW w:type="dxa" w:w="2000"/>
            <w:tcBorders>
              <w:top w:val="single" w:color="000000" w:sz="8"/>
              <w:left w:val="single" w:color="000000" w:sz="8"/>
              <w:bottom w:val="single" w:color="000000" w:sz="8"/>
              <w:right w:val="single" w:color="000000" w:sz="8"/>
            </w:tcBorders>
            <w:shd w:fill="D9E1F2" w:val="clear"/>
            <w:tcMar>
              <w:top w:type="dxa" w:w="100"/>
              <w:left w:type="dxa" w:w="120"/>
              <w:bottom w:type="dxa" w:w="100"/>
              <w:right w:type="dxa" w:w="120"/>
            </w:tcMar>
            <w:vAlign w:val="top"/>
          </w:tcPr>
          <w:p>
            <w:r>
              <w:rPr>
                <w:rFonts w:ascii="Poppins" w:cs="Poppins" w:eastAsia="Poppins" w:hAnsi="Poppins"/>
                <w:b/>
                <w:bCs/>
                <w:sz w:val="22"/>
                <w:szCs w:val="22"/>
              </w:rPr>
              <w:t xml:space="preserve">Root Cause</w:t>
            </w:r>
          </w:p>
        </w:tc>
        <w:tc>
          <w:tcPr>
            <w:tcBorders>
              <w:top w:val="single" w:color="000000" w:sz="8"/>
              <w:left w:val="single" w:color="000000" w:sz="8"/>
              <w:bottom w:val="single" w:color="000000" w:sz="8"/>
              <w:right w:val="single" w:color="000000" w:sz="8"/>
            </w:tcBorders>
            <w:shd w:fill="EEF2FF" w:val="clear"/>
            <w:tcMar>
              <w:top w:type="dxa" w:w="100"/>
              <w:left w:type="dxa" w:w="120"/>
              <w:bottom w:type="dxa" w:w="100"/>
              <w:right w:type="dxa" w:w="120"/>
            </w:tcMar>
            <w:vAlign w:val="top"/>
          </w:tcPr>
          <w:p>
            <w:pPr>
              <w:spacing w:line="320" w:lineRule="auto"/>
            </w:pPr>
            <w:r>
              <w:rPr>
                <w:rFonts w:ascii="Poppins" w:cs="Poppins" w:eastAsia="Poppins" w:hAnsi="Poppins"/>
                <w:sz w:val="22"/>
                <w:szCs w:val="22"/>
              </w:rPr>
              <w:t xml:space="preserve">An unconfigured firewall with no rate limiting or filtering rules allowed the flood of ICMP ping packets to pass through unrestricted.</w:t>
            </w:r>
          </w:p>
        </w:tc>
      </w:tr>
      <w:tr>
        <w:tc>
          <w:tcPr>
            <w:tcW w:type="dxa" w:w="2000"/>
            <w:tcBorders>
              <w:top w:val="single" w:color="000000" w:sz="8"/>
              <w:left w:val="single" w:color="000000" w:sz="8"/>
              <w:bottom w:val="single" w:color="000000" w:sz="8"/>
              <w:right w:val="single" w:color="000000" w:sz="8"/>
            </w:tcBorders>
            <w:shd w:fill="D9E1F2" w:val="clear"/>
            <w:tcMar>
              <w:top w:type="dxa" w:w="100"/>
              <w:left w:type="dxa" w:w="120"/>
              <w:bottom w:type="dxa" w:w="100"/>
              <w:right w:type="dxa" w:w="120"/>
            </w:tcMar>
            <w:vAlign w:val="top"/>
          </w:tcPr>
          <w:p>
            <w:r>
              <w:rPr>
                <w:rFonts w:ascii="Poppins" w:cs="Poppins" w:eastAsia="Poppins" w:hAnsi="Poppins"/>
                <w:b/>
                <w:bCs/>
                <w:sz w:val="22"/>
                <w:szCs w:val="22"/>
              </w:rPr>
              <w:t xml:space="preserve">Vulnerability</w:t>
            </w:r>
          </w:p>
        </w:tc>
        <w:tc>
          <w:tcPr>
            <w:tcBorders>
              <w:top w:val="single" w:color="000000" w:sz="8"/>
              <w:left w:val="single" w:color="000000" w:sz="8"/>
              <w:bottom w:val="single" w:color="000000" w:sz="8"/>
              <w:right w:val="single" w:color="000000" w:sz="8"/>
            </w:tcBorders>
            <w:shd w:fill="FFFFFF" w:val="clear"/>
            <w:tcMar>
              <w:top w:type="dxa" w:w="100"/>
              <w:left w:type="dxa" w:w="120"/>
              <w:bottom w:type="dxa" w:w="100"/>
              <w:right w:type="dxa" w:w="120"/>
            </w:tcMar>
            <w:vAlign w:val="top"/>
          </w:tcPr>
          <w:p>
            <w:pPr>
              <w:spacing w:line="320" w:lineRule="auto"/>
            </w:pPr>
            <w:r>
              <w:rPr>
                <w:rFonts w:ascii="Poppins" w:cs="Poppins" w:eastAsia="Poppins" w:hAnsi="Poppins"/>
                <w:sz w:val="22"/>
                <w:szCs w:val="22"/>
              </w:rPr>
              <w:t xml:space="preserve">No firewall rules were in place to limit incoming ICMP traffic and no network monitoring was configured to detect abnormal traffic patterns.</w:t>
            </w:r>
          </w:p>
        </w:tc>
      </w:tr>
      <w:tr>
        <w:tc>
          <w:tcPr>
            <w:gridSpan w:val="2"/>
            <w:tcBorders>
              <w:top w:val="single" w:color="000000" w:sz="8"/>
              <w:left w:val="single" w:color="000000" w:sz="8"/>
              <w:bottom w:val="single" w:color="000000" w:sz="8"/>
              <w:right w:val="single" w:color="000000" w:sz="8"/>
            </w:tcBorders>
            <w:shd w:fill="2C3E7A" w:val="clear"/>
            <w:tcMar>
              <w:top w:type="dxa" w:w="100"/>
              <w:left w:type="dxa" w:w="120"/>
              <w:bottom w:type="dxa" w:w="100"/>
              <w:right w:type="dxa" w:w="120"/>
            </w:tcMar>
          </w:tcPr>
          <w:p>
            <w:r>
              <w:rPr>
                <w:rFonts w:ascii="Poppins" w:cs="Poppins" w:eastAsia="Poppins" w:hAnsi="Poppins"/>
                <w:b/>
                <w:bCs/>
                <w:color w:val="FFFFFF"/>
                <w:sz w:val="24"/>
                <w:szCs w:val="24"/>
              </w:rPr>
              <w:t xml:space="preserve">Protect</w:t>
            </w:r>
          </w:p>
        </w:tc>
      </w:tr>
      <w:tr>
        <w:tc>
          <w:tcPr>
            <w:tcW w:type="dxa" w:w="2000"/>
            <w:tcBorders>
              <w:top w:val="single" w:color="000000" w:sz="8"/>
              <w:left w:val="single" w:color="000000" w:sz="8"/>
              <w:bottom w:val="single" w:color="000000" w:sz="8"/>
              <w:right w:val="single" w:color="000000" w:sz="8"/>
            </w:tcBorders>
            <w:shd w:fill="D9E1F2" w:val="clear"/>
            <w:tcMar>
              <w:top w:type="dxa" w:w="100"/>
              <w:left w:type="dxa" w:w="120"/>
              <w:bottom w:type="dxa" w:w="100"/>
              <w:right w:type="dxa" w:w="120"/>
            </w:tcMar>
            <w:vAlign w:val="top"/>
          </w:tcPr>
          <w:p>
            <w:r>
              <w:rPr>
                <w:rFonts w:ascii="Poppins" w:cs="Poppins" w:eastAsia="Poppins" w:hAnsi="Poppins"/>
                <w:b/>
                <w:bCs/>
                <w:sz w:val="22"/>
                <w:szCs w:val="22"/>
              </w:rPr>
              <w:t xml:space="preserve">Firewall Configuration</w:t>
            </w:r>
          </w:p>
        </w:tc>
        <w:tc>
          <w:tcPr>
            <w:tcBorders>
              <w:top w:val="single" w:color="000000" w:sz="8"/>
              <w:left w:val="single" w:color="000000" w:sz="8"/>
              <w:bottom w:val="single" w:color="000000" w:sz="8"/>
              <w:right w:val="single" w:color="000000" w:sz="8"/>
            </w:tcBorders>
            <w:shd w:fill="EEF2FF" w:val="clear"/>
            <w:tcMar>
              <w:top w:type="dxa" w:w="100"/>
              <w:left w:type="dxa" w:w="120"/>
              <w:bottom w:type="dxa" w:w="100"/>
              <w:right w:type="dxa" w:w="120"/>
            </w:tcMar>
            <w:vAlign w:val="top"/>
          </w:tcPr>
          <w:p>
            <w:pPr>
              <w:spacing w:line="320" w:lineRule="auto"/>
            </w:pPr>
            <w:r>
              <w:rPr>
                <w:rFonts w:ascii="Poppins" w:cs="Poppins" w:eastAsia="Poppins" w:hAnsi="Poppins"/>
                <w:sz w:val="22"/>
                <w:szCs w:val="22"/>
              </w:rPr>
              <w:t xml:space="preserve">Configure firewall rules to limit the rate of incoming ICMP packets and block traffic from unverified or suspicious source IP addresses.</w:t>
            </w:r>
          </w:p>
        </w:tc>
      </w:tr>
      <w:tr>
        <w:tc>
          <w:tcPr>
            <w:tcW w:type="dxa" w:w="2000"/>
            <w:tcBorders>
              <w:top w:val="single" w:color="000000" w:sz="8"/>
              <w:left w:val="single" w:color="000000" w:sz="8"/>
              <w:bottom w:val="single" w:color="000000" w:sz="8"/>
              <w:right w:val="single" w:color="000000" w:sz="8"/>
            </w:tcBorders>
            <w:shd w:fill="D9E1F2" w:val="clear"/>
            <w:tcMar>
              <w:top w:type="dxa" w:w="100"/>
              <w:left w:type="dxa" w:w="120"/>
              <w:bottom w:type="dxa" w:w="100"/>
              <w:right w:type="dxa" w:w="120"/>
            </w:tcMar>
            <w:vAlign w:val="top"/>
          </w:tcPr>
          <w:p>
            <w:r>
              <w:rPr>
                <w:rFonts w:ascii="Poppins" w:cs="Poppins" w:eastAsia="Poppins" w:hAnsi="Poppins"/>
                <w:b/>
                <w:bCs/>
                <w:sz w:val="22"/>
                <w:szCs w:val="22"/>
              </w:rPr>
              <w:t xml:space="preserve">IP Address Verification</w:t>
            </w:r>
          </w:p>
        </w:tc>
        <w:tc>
          <w:tcPr>
            <w:tcBorders>
              <w:top w:val="single" w:color="000000" w:sz="8"/>
              <w:left w:val="single" w:color="000000" w:sz="8"/>
              <w:bottom w:val="single" w:color="000000" w:sz="8"/>
              <w:right w:val="single" w:color="000000" w:sz="8"/>
            </w:tcBorders>
            <w:shd w:fill="FFFFFF" w:val="clear"/>
            <w:tcMar>
              <w:top w:type="dxa" w:w="100"/>
              <w:left w:type="dxa" w:w="120"/>
              <w:bottom w:type="dxa" w:w="100"/>
              <w:right w:type="dxa" w:w="120"/>
            </w:tcMar>
            <w:vAlign w:val="top"/>
          </w:tcPr>
          <w:p>
            <w:pPr>
              <w:spacing w:line="320" w:lineRule="auto"/>
            </w:pPr>
            <w:r>
              <w:rPr>
                <w:rFonts w:ascii="Poppins" w:cs="Poppins" w:eastAsia="Poppins" w:hAnsi="Poppins"/>
                <w:sz w:val="22"/>
                <w:szCs w:val="22"/>
              </w:rPr>
              <w:t xml:space="preserve">Enable source IP address verification on the firewall to detect and block spoofed IP addresses used in ICMP flood attacks.</w:t>
            </w:r>
          </w:p>
        </w:tc>
      </w:tr>
      <w:tr>
        <w:tc>
          <w:tcPr>
            <w:tcW w:type="dxa" w:w="2000"/>
            <w:tcBorders>
              <w:top w:val="single" w:color="000000" w:sz="8"/>
              <w:left w:val="single" w:color="000000" w:sz="8"/>
              <w:bottom w:val="single" w:color="000000" w:sz="8"/>
              <w:right w:val="single" w:color="000000" w:sz="8"/>
            </w:tcBorders>
            <w:shd w:fill="D9E1F2" w:val="clear"/>
            <w:tcMar>
              <w:top w:type="dxa" w:w="100"/>
              <w:left w:type="dxa" w:w="120"/>
              <w:bottom w:type="dxa" w:w="100"/>
              <w:right w:type="dxa" w:w="120"/>
            </w:tcMar>
            <w:vAlign w:val="top"/>
          </w:tcPr>
          <w:p>
            <w:r>
              <w:rPr>
                <w:rFonts w:ascii="Poppins" w:cs="Poppins" w:eastAsia="Poppins" w:hAnsi="Poppins"/>
                <w:b/>
                <w:bCs/>
                <w:sz w:val="22"/>
                <w:szCs w:val="22"/>
              </w:rPr>
              <w:t xml:space="preserve">Regular Audits</w:t>
            </w:r>
          </w:p>
        </w:tc>
        <w:tc>
          <w:tcPr>
            <w:tcBorders>
              <w:top w:val="single" w:color="000000" w:sz="8"/>
              <w:left w:val="single" w:color="000000" w:sz="8"/>
              <w:bottom w:val="single" w:color="000000" w:sz="8"/>
              <w:right w:val="single" w:color="000000" w:sz="8"/>
            </w:tcBorders>
            <w:shd w:fill="EEF2FF" w:val="clear"/>
            <w:tcMar>
              <w:top w:type="dxa" w:w="100"/>
              <w:left w:type="dxa" w:w="120"/>
              <w:bottom w:type="dxa" w:w="100"/>
              <w:right w:type="dxa" w:w="120"/>
            </w:tcMar>
            <w:vAlign w:val="top"/>
          </w:tcPr>
          <w:p>
            <w:pPr>
              <w:spacing w:line="320" w:lineRule="auto"/>
            </w:pPr>
            <w:r>
              <w:rPr>
                <w:rFonts w:ascii="Poppins" w:cs="Poppins" w:eastAsia="Poppins" w:hAnsi="Poppins"/>
                <w:sz w:val="22"/>
                <w:szCs w:val="22"/>
              </w:rPr>
              <w:t xml:space="preserve">Conduct regular firewall configuration audits to ensure rules remain current and properly enforced against emerging threats.</w:t>
            </w:r>
          </w:p>
        </w:tc>
      </w:tr>
      <w:tr>
        <w:tc>
          <w:tcPr>
            <w:tcW w:type="dxa" w:w="2000"/>
            <w:tcBorders>
              <w:top w:val="single" w:color="000000" w:sz="8"/>
              <w:left w:val="single" w:color="000000" w:sz="8"/>
              <w:bottom w:val="single" w:color="000000" w:sz="8"/>
              <w:right w:val="single" w:color="000000" w:sz="8"/>
            </w:tcBorders>
            <w:shd w:fill="D9E1F2" w:val="clear"/>
            <w:tcMar>
              <w:top w:type="dxa" w:w="100"/>
              <w:left w:type="dxa" w:w="120"/>
              <w:bottom w:type="dxa" w:w="100"/>
              <w:right w:type="dxa" w:w="120"/>
            </w:tcMar>
            <w:vAlign w:val="top"/>
          </w:tcPr>
          <w:p>
            <w:r>
              <w:rPr>
                <w:rFonts w:ascii="Poppins" w:cs="Poppins" w:eastAsia="Poppins" w:hAnsi="Poppins"/>
                <w:b/>
                <w:bCs/>
                <w:sz w:val="22"/>
                <w:szCs w:val="22"/>
              </w:rPr>
              <w:t xml:space="preserve">Staff Training</w:t>
            </w:r>
          </w:p>
        </w:tc>
        <w:tc>
          <w:tcPr>
            <w:tcBorders>
              <w:top w:val="single" w:color="000000" w:sz="8"/>
              <w:left w:val="single" w:color="000000" w:sz="8"/>
              <w:bottom w:val="single" w:color="000000" w:sz="8"/>
              <w:right w:val="single" w:color="000000" w:sz="8"/>
            </w:tcBorders>
            <w:shd w:fill="FFFFFF" w:val="clear"/>
            <w:tcMar>
              <w:top w:type="dxa" w:w="100"/>
              <w:left w:type="dxa" w:w="120"/>
              <w:bottom w:type="dxa" w:w="100"/>
              <w:right w:type="dxa" w:w="120"/>
            </w:tcMar>
            <w:vAlign w:val="top"/>
          </w:tcPr>
          <w:p>
            <w:pPr>
              <w:spacing w:line="320" w:lineRule="auto"/>
            </w:pPr>
            <w:r>
              <w:rPr>
                <w:rFonts w:ascii="Poppins" w:cs="Poppins" w:eastAsia="Poppins" w:hAnsi="Poppins"/>
                <w:sz w:val="22"/>
                <w:szCs w:val="22"/>
              </w:rPr>
              <w:t xml:space="preserve">Train network administrators on proper firewall configuration and maintenance procedures to prevent misconfigurations that expose the network to attacks.</w:t>
            </w:r>
          </w:p>
        </w:tc>
      </w:tr>
      <w:tr>
        <w:tc>
          <w:tcPr>
            <w:gridSpan w:val="2"/>
            <w:tcBorders>
              <w:top w:val="single" w:color="000000" w:sz="8"/>
              <w:left w:val="single" w:color="000000" w:sz="8"/>
              <w:bottom w:val="single" w:color="000000" w:sz="8"/>
              <w:right w:val="single" w:color="000000" w:sz="8"/>
            </w:tcBorders>
            <w:shd w:fill="2C3E7A" w:val="clear"/>
            <w:tcMar>
              <w:top w:type="dxa" w:w="100"/>
              <w:left w:type="dxa" w:w="120"/>
              <w:bottom w:type="dxa" w:w="100"/>
              <w:right w:type="dxa" w:w="120"/>
            </w:tcMar>
          </w:tcPr>
          <w:p>
            <w:r>
              <w:rPr>
                <w:rFonts w:ascii="Poppins" w:cs="Poppins" w:eastAsia="Poppins" w:hAnsi="Poppins"/>
                <w:b/>
                <w:bCs/>
                <w:color w:val="FFFFFF"/>
                <w:sz w:val="24"/>
                <w:szCs w:val="24"/>
              </w:rPr>
              <w:t xml:space="preserve">Detect</w:t>
            </w:r>
          </w:p>
        </w:tc>
      </w:tr>
      <w:tr>
        <w:tc>
          <w:tcPr>
            <w:tcW w:type="dxa" w:w="2000"/>
            <w:tcBorders>
              <w:top w:val="single" w:color="000000" w:sz="8"/>
              <w:left w:val="single" w:color="000000" w:sz="8"/>
              <w:bottom w:val="single" w:color="000000" w:sz="8"/>
              <w:right w:val="single" w:color="000000" w:sz="8"/>
            </w:tcBorders>
            <w:shd w:fill="D9E1F2" w:val="clear"/>
            <w:tcMar>
              <w:top w:type="dxa" w:w="100"/>
              <w:left w:type="dxa" w:w="120"/>
              <w:bottom w:type="dxa" w:w="100"/>
              <w:right w:type="dxa" w:w="120"/>
            </w:tcMar>
            <w:vAlign w:val="top"/>
          </w:tcPr>
          <w:p>
            <w:r>
              <w:rPr>
                <w:rFonts w:ascii="Poppins" w:cs="Poppins" w:eastAsia="Poppins" w:hAnsi="Poppins"/>
                <w:b/>
                <w:bCs/>
                <w:sz w:val="22"/>
                <w:szCs w:val="22"/>
              </w:rPr>
              <w:t xml:space="preserve">SIEM Tool</w:t>
            </w:r>
          </w:p>
        </w:tc>
        <w:tc>
          <w:tcPr>
            <w:tcBorders>
              <w:top w:val="single" w:color="000000" w:sz="8"/>
              <w:left w:val="single" w:color="000000" w:sz="8"/>
              <w:bottom w:val="single" w:color="000000" w:sz="8"/>
              <w:right w:val="single" w:color="000000" w:sz="8"/>
            </w:tcBorders>
            <w:shd w:fill="EEF2FF" w:val="clear"/>
            <w:tcMar>
              <w:top w:type="dxa" w:w="100"/>
              <w:left w:type="dxa" w:w="120"/>
              <w:bottom w:type="dxa" w:w="100"/>
              <w:right w:type="dxa" w:w="120"/>
            </w:tcMar>
            <w:vAlign w:val="top"/>
          </w:tcPr>
          <w:p>
            <w:pPr>
              <w:spacing w:line="320" w:lineRule="auto"/>
            </w:pPr>
            <w:r>
              <w:rPr>
                <w:rFonts w:ascii="Poppins" w:cs="Poppins" w:eastAsia="Poppins" w:hAnsi="Poppins"/>
                <w:sz w:val="22"/>
                <w:szCs w:val="22"/>
              </w:rPr>
              <w:t xml:space="preserve">Deploy a SIEM tool to collect and analyse logs from network devices in real time, generating alerts when abnormal traffic patterns are detected.</w:t>
            </w:r>
          </w:p>
        </w:tc>
      </w:tr>
      <w:tr>
        <w:tc>
          <w:tcPr>
            <w:tcW w:type="dxa" w:w="2000"/>
            <w:tcBorders>
              <w:top w:val="single" w:color="000000" w:sz="8"/>
              <w:left w:val="single" w:color="000000" w:sz="8"/>
              <w:bottom w:val="single" w:color="000000" w:sz="8"/>
              <w:right w:val="single" w:color="000000" w:sz="8"/>
            </w:tcBorders>
            <w:shd w:fill="D9E1F2" w:val="clear"/>
            <w:tcMar>
              <w:top w:type="dxa" w:w="100"/>
              <w:left w:type="dxa" w:w="120"/>
              <w:bottom w:type="dxa" w:w="100"/>
              <w:right w:type="dxa" w:w="120"/>
            </w:tcMar>
            <w:vAlign w:val="top"/>
          </w:tcPr>
          <w:p>
            <w:r>
              <w:rPr>
                <w:rFonts w:ascii="Poppins" w:cs="Poppins" w:eastAsia="Poppins" w:hAnsi="Poppins"/>
                <w:b/>
                <w:bCs/>
                <w:sz w:val="22"/>
                <w:szCs w:val="22"/>
              </w:rPr>
              <w:t xml:space="preserve">IDS/IPS</w:t>
            </w:r>
          </w:p>
        </w:tc>
        <w:tc>
          <w:tcPr>
            <w:tcBorders>
              <w:top w:val="single" w:color="000000" w:sz="8"/>
              <w:left w:val="single" w:color="000000" w:sz="8"/>
              <w:bottom w:val="single" w:color="000000" w:sz="8"/>
              <w:right w:val="single" w:color="000000" w:sz="8"/>
            </w:tcBorders>
            <w:shd w:fill="FFFFFF" w:val="clear"/>
            <w:tcMar>
              <w:top w:type="dxa" w:w="100"/>
              <w:left w:type="dxa" w:w="120"/>
              <w:bottom w:type="dxa" w:w="100"/>
              <w:right w:type="dxa" w:w="120"/>
            </w:tcMar>
            <w:vAlign w:val="top"/>
          </w:tcPr>
          <w:p>
            <w:pPr>
              <w:spacing w:line="320" w:lineRule="auto"/>
            </w:pPr>
            <w:r>
              <w:rPr>
                <w:rFonts w:ascii="Poppins" w:cs="Poppins" w:eastAsia="Poppins" w:hAnsi="Poppins"/>
                <w:sz w:val="22"/>
                <w:szCs w:val="22"/>
              </w:rPr>
              <w:t xml:space="preserve">Implement an IDS/IPS system to monitor incoming ICMP traffic and automatically filter packets exhibiting suspicious characteristics.</w:t>
            </w:r>
          </w:p>
        </w:tc>
      </w:tr>
      <w:tr>
        <w:tc>
          <w:tcPr>
            <w:tcW w:type="dxa" w:w="2000"/>
            <w:tcBorders>
              <w:top w:val="single" w:color="000000" w:sz="8"/>
              <w:left w:val="single" w:color="000000" w:sz="8"/>
              <w:bottom w:val="single" w:color="000000" w:sz="8"/>
              <w:right w:val="single" w:color="000000" w:sz="8"/>
            </w:tcBorders>
            <w:shd w:fill="D9E1F2" w:val="clear"/>
            <w:tcMar>
              <w:top w:type="dxa" w:w="100"/>
              <w:left w:type="dxa" w:w="120"/>
              <w:bottom w:type="dxa" w:w="100"/>
              <w:right w:type="dxa" w:w="120"/>
            </w:tcMar>
            <w:vAlign w:val="top"/>
          </w:tcPr>
          <w:p>
            <w:r>
              <w:rPr>
                <w:rFonts w:ascii="Poppins" w:cs="Poppins" w:eastAsia="Poppins" w:hAnsi="Poppins"/>
                <w:b/>
                <w:bCs/>
                <w:sz w:val="22"/>
                <w:szCs w:val="22"/>
              </w:rPr>
              <w:t xml:space="preserve">Network Monitoring</w:t>
            </w:r>
          </w:p>
        </w:tc>
        <w:tc>
          <w:tcPr>
            <w:tcBorders>
              <w:top w:val="single" w:color="000000" w:sz="8"/>
              <w:left w:val="single" w:color="000000" w:sz="8"/>
              <w:bottom w:val="single" w:color="000000" w:sz="8"/>
              <w:right w:val="single" w:color="000000" w:sz="8"/>
            </w:tcBorders>
            <w:shd w:fill="EEF2FF" w:val="clear"/>
            <w:tcMar>
              <w:top w:type="dxa" w:w="100"/>
              <w:left w:type="dxa" w:w="120"/>
              <w:bottom w:type="dxa" w:w="100"/>
              <w:right w:type="dxa" w:w="120"/>
            </w:tcMar>
            <w:vAlign w:val="top"/>
          </w:tcPr>
          <w:p>
            <w:pPr>
              <w:spacing w:line="320" w:lineRule="auto"/>
            </w:pPr>
            <w:r>
              <w:rPr>
                <w:rFonts w:ascii="Poppins" w:cs="Poppins" w:eastAsia="Poppins" w:hAnsi="Poppins"/>
                <w:sz w:val="22"/>
                <w:szCs w:val="22"/>
              </w:rPr>
              <w:t xml:space="preserve">Configure network monitoring software to establish a normal traffic baseline and alert the security team when volumes exceed acceptable thresholds.</w:t>
            </w:r>
          </w:p>
        </w:tc>
      </w:tr>
      <w:tr>
        <w:tc>
          <w:tcPr>
            <w:gridSpan w:val="2"/>
            <w:tcBorders>
              <w:top w:val="single" w:color="000000" w:sz="8"/>
              <w:left w:val="single" w:color="000000" w:sz="8"/>
              <w:bottom w:val="single" w:color="000000" w:sz="8"/>
              <w:right w:val="single" w:color="000000" w:sz="8"/>
            </w:tcBorders>
            <w:shd w:fill="2C3E7A" w:val="clear"/>
            <w:tcMar>
              <w:top w:type="dxa" w:w="100"/>
              <w:left w:type="dxa" w:w="120"/>
              <w:bottom w:type="dxa" w:w="100"/>
              <w:right w:type="dxa" w:w="120"/>
            </w:tcMar>
          </w:tcPr>
          <w:p>
            <w:r>
              <w:rPr>
                <w:rFonts w:ascii="Poppins" w:cs="Poppins" w:eastAsia="Poppins" w:hAnsi="Poppins"/>
                <w:b/>
                <w:bCs/>
                <w:color w:val="FFFFFF"/>
                <w:sz w:val="24"/>
                <w:szCs w:val="24"/>
              </w:rPr>
              <w:t xml:space="preserve">Respond</w:t>
            </w:r>
          </w:p>
        </w:tc>
      </w:tr>
      <w:tr>
        <w:tc>
          <w:tcPr>
            <w:tcW w:type="dxa" w:w="2000"/>
            <w:tcBorders>
              <w:top w:val="single" w:color="000000" w:sz="8"/>
              <w:left w:val="single" w:color="000000" w:sz="8"/>
              <w:bottom w:val="single" w:color="000000" w:sz="8"/>
              <w:right w:val="single" w:color="000000" w:sz="8"/>
            </w:tcBorders>
            <w:shd w:fill="D9E1F2" w:val="clear"/>
            <w:tcMar>
              <w:top w:type="dxa" w:w="100"/>
              <w:left w:type="dxa" w:w="120"/>
              <w:bottom w:type="dxa" w:w="100"/>
              <w:right w:type="dxa" w:w="120"/>
            </w:tcMar>
            <w:vAlign w:val="top"/>
          </w:tcPr>
          <w:p>
            <w:r>
              <w:rPr>
                <w:rFonts w:ascii="Poppins" w:cs="Poppins" w:eastAsia="Poppins" w:hAnsi="Poppins"/>
                <w:b/>
                <w:bCs/>
                <w:sz w:val="22"/>
                <w:szCs w:val="22"/>
              </w:rPr>
              <w:t xml:space="preserve">Containment</w:t>
            </w:r>
          </w:p>
        </w:tc>
        <w:tc>
          <w:tcPr>
            <w:tcBorders>
              <w:top w:val="single" w:color="000000" w:sz="8"/>
              <w:left w:val="single" w:color="000000" w:sz="8"/>
              <w:bottom w:val="single" w:color="000000" w:sz="8"/>
              <w:right w:val="single" w:color="000000" w:sz="8"/>
            </w:tcBorders>
            <w:shd w:fill="EEF2FF" w:val="clear"/>
            <w:tcMar>
              <w:top w:type="dxa" w:w="100"/>
              <w:left w:type="dxa" w:w="120"/>
              <w:bottom w:type="dxa" w:w="100"/>
              <w:right w:type="dxa" w:w="120"/>
            </w:tcMar>
            <w:vAlign w:val="top"/>
          </w:tcPr>
          <w:p>
            <w:pPr>
              <w:spacing w:line="320" w:lineRule="auto"/>
            </w:pPr>
            <w:r>
              <w:rPr>
                <w:rFonts w:ascii="Poppins" w:cs="Poppins" w:eastAsia="Poppins" w:hAnsi="Poppins"/>
                <w:sz w:val="22"/>
                <w:szCs w:val="22"/>
              </w:rPr>
              <w:t xml:space="preserve">Immediately block all incoming ICMP packets at the firewall to stop the attack and prevent further network disruption.</w:t>
            </w:r>
          </w:p>
        </w:tc>
      </w:tr>
      <w:tr>
        <w:tc>
          <w:tcPr>
            <w:tcW w:type="dxa" w:w="2000"/>
            <w:tcBorders>
              <w:top w:val="single" w:color="000000" w:sz="8"/>
              <w:left w:val="single" w:color="000000" w:sz="8"/>
              <w:bottom w:val="single" w:color="000000" w:sz="8"/>
              <w:right w:val="single" w:color="000000" w:sz="8"/>
            </w:tcBorders>
            <w:shd w:fill="D9E1F2" w:val="clear"/>
            <w:tcMar>
              <w:top w:type="dxa" w:w="100"/>
              <w:left w:type="dxa" w:w="120"/>
              <w:bottom w:type="dxa" w:w="100"/>
              <w:right w:type="dxa" w:w="120"/>
            </w:tcMar>
            <w:vAlign w:val="top"/>
          </w:tcPr>
          <w:p>
            <w:r>
              <w:rPr>
                <w:rFonts w:ascii="Poppins" w:cs="Poppins" w:eastAsia="Poppins" w:hAnsi="Poppins"/>
                <w:b/>
                <w:bCs/>
                <w:sz w:val="22"/>
                <w:szCs w:val="22"/>
              </w:rPr>
              <w:t xml:space="preserve">Service Management</w:t>
            </w:r>
          </w:p>
        </w:tc>
        <w:tc>
          <w:tcPr>
            <w:tcBorders>
              <w:top w:val="single" w:color="000000" w:sz="8"/>
              <w:left w:val="single" w:color="000000" w:sz="8"/>
              <w:bottom w:val="single" w:color="000000" w:sz="8"/>
              <w:right w:val="single" w:color="000000" w:sz="8"/>
            </w:tcBorders>
            <w:shd w:fill="FFFFFF" w:val="clear"/>
            <w:tcMar>
              <w:top w:type="dxa" w:w="100"/>
              <w:left w:type="dxa" w:w="120"/>
              <w:bottom w:type="dxa" w:w="100"/>
              <w:right w:type="dxa" w:w="120"/>
            </w:tcMar>
            <w:vAlign w:val="top"/>
          </w:tcPr>
          <w:p>
            <w:pPr>
              <w:spacing w:line="320" w:lineRule="auto"/>
            </w:pPr>
            <w:r>
              <w:rPr>
                <w:rFonts w:ascii="Poppins" w:cs="Poppins" w:eastAsia="Poppins" w:hAnsi="Poppins"/>
                <w:sz w:val="22"/>
                <w:szCs w:val="22"/>
              </w:rPr>
              <w:t xml:space="preserve">Take all non-critical network services offline to reduce load on affected systems while maintaining the availability of critical services.</w:t>
            </w:r>
          </w:p>
        </w:tc>
      </w:tr>
      <w:tr>
        <w:tc>
          <w:tcPr>
            <w:tcW w:type="dxa" w:w="2000"/>
            <w:tcBorders>
              <w:top w:val="single" w:color="000000" w:sz="8"/>
              <w:left w:val="single" w:color="000000" w:sz="8"/>
              <w:bottom w:val="single" w:color="000000" w:sz="8"/>
              <w:right w:val="single" w:color="000000" w:sz="8"/>
            </w:tcBorders>
            <w:shd w:fill="D9E1F2" w:val="clear"/>
            <w:tcMar>
              <w:top w:type="dxa" w:w="100"/>
              <w:left w:type="dxa" w:w="120"/>
              <w:bottom w:type="dxa" w:w="100"/>
              <w:right w:type="dxa" w:w="120"/>
            </w:tcMar>
            <w:vAlign w:val="top"/>
          </w:tcPr>
          <w:p>
            <w:r>
              <w:rPr>
                <w:rFonts w:ascii="Poppins" w:cs="Poppins" w:eastAsia="Poppins" w:hAnsi="Poppins"/>
                <w:b/>
                <w:bCs/>
                <w:sz w:val="22"/>
                <w:szCs w:val="22"/>
              </w:rPr>
              <w:t xml:space="preserve">Investigation</w:t>
            </w:r>
          </w:p>
        </w:tc>
        <w:tc>
          <w:tcPr>
            <w:tcBorders>
              <w:top w:val="single" w:color="000000" w:sz="8"/>
              <w:left w:val="single" w:color="000000" w:sz="8"/>
              <w:bottom w:val="single" w:color="000000" w:sz="8"/>
              <w:right w:val="single" w:color="000000" w:sz="8"/>
            </w:tcBorders>
            <w:shd w:fill="EEF2FF" w:val="clear"/>
            <w:tcMar>
              <w:top w:type="dxa" w:w="100"/>
              <w:left w:type="dxa" w:w="120"/>
              <w:bottom w:type="dxa" w:w="100"/>
              <w:right w:type="dxa" w:w="120"/>
            </w:tcMar>
            <w:vAlign w:val="top"/>
          </w:tcPr>
          <w:p>
            <w:pPr>
              <w:spacing w:line="320" w:lineRule="auto"/>
            </w:pPr>
            <w:r>
              <w:rPr>
                <w:rFonts w:ascii="Poppins" w:cs="Poppins" w:eastAsia="Poppins" w:hAnsi="Poppins"/>
                <w:sz w:val="22"/>
                <w:szCs w:val="22"/>
              </w:rPr>
              <w:t xml:space="preserve">Analyse ICMP packets to identify source IP addresses, determine whether IP spoofing was involved, and review SIEM logs to understand the full scope of the attack.</w:t>
            </w:r>
          </w:p>
        </w:tc>
      </w:tr>
      <w:tr>
        <w:tc>
          <w:tcPr>
            <w:tcW w:type="dxa" w:w="2000"/>
            <w:tcBorders>
              <w:top w:val="single" w:color="000000" w:sz="8"/>
              <w:left w:val="single" w:color="000000" w:sz="8"/>
              <w:bottom w:val="single" w:color="000000" w:sz="8"/>
              <w:right w:val="single" w:color="000000" w:sz="8"/>
            </w:tcBorders>
            <w:shd w:fill="D9E1F2" w:val="clear"/>
            <w:tcMar>
              <w:top w:type="dxa" w:w="100"/>
              <w:left w:type="dxa" w:w="120"/>
              <w:bottom w:type="dxa" w:w="100"/>
              <w:right w:type="dxa" w:w="120"/>
            </w:tcMar>
            <w:vAlign w:val="top"/>
          </w:tcPr>
          <w:p>
            <w:r>
              <w:rPr>
                <w:rFonts w:ascii="Poppins" w:cs="Poppins" w:eastAsia="Poppins" w:hAnsi="Poppins"/>
                <w:b/>
                <w:bCs/>
                <w:sz w:val="22"/>
                <w:szCs w:val="22"/>
              </w:rPr>
              <w:t xml:space="preserve">Neutralization</w:t>
            </w:r>
          </w:p>
        </w:tc>
        <w:tc>
          <w:tcPr>
            <w:tcBorders>
              <w:top w:val="single" w:color="000000" w:sz="8"/>
              <w:left w:val="single" w:color="000000" w:sz="8"/>
              <w:bottom w:val="single" w:color="000000" w:sz="8"/>
              <w:right w:val="single" w:color="000000" w:sz="8"/>
            </w:tcBorders>
            <w:shd w:fill="FFFFFF" w:val="clear"/>
            <w:tcMar>
              <w:top w:type="dxa" w:w="100"/>
              <w:left w:type="dxa" w:w="120"/>
              <w:bottom w:type="dxa" w:w="100"/>
              <w:right w:type="dxa" w:w="120"/>
            </w:tcMar>
            <w:vAlign w:val="top"/>
          </w:tcPr>
          <w:p>
            <w:pPr>
              <w:spacing w:line="320" w:lineRule="auto"/>
            </w:pPr>
            <w:r>
              <w:rPr>
                <w:rFonts w:ascii="Poppins" w:cs="Poppins" w:eastAsia="Poppins" w:hAnsi="Poppins"/>
                <w:sz w:val="22"/>
                <w:szCs w:val="22"/>
              </w:rPr>
              <w:t xml:space="preserve">Update firewall rules to block identified malicious IP addresses. Document all findings for future incident response improvements.</w:t>
            </w:r>
          </w:p>
        </w:tc>
      </w:tr>
      <w:tr>
        <w:tc>
          <w:tcPr>
            <w:gridSpan w:val="2"/>
            <w:tcBorders>
              <w:top w:val="single" w:color="000000" w:sz="8"/>
              <w:left w:val="single" w:color="000000" w:sz="8"/>
              <w:bottom w:val="single" w:color="000000" w:sz="8"/>
              <w:right w:val="single" w:color="000000" w:sz="8"/>
            </w:tcBorders>
            <w:shd w:fill="2C3E7A" w:val="clear"/>
            <w:tcMar>
              <w:top w:type="dxa" w:w="100"/>
              <w:left w:type="dxa" w:w="120"/>
              <w:bottom w:type="dxa" w:w="100"/>
              <w:right w:type="dxa" w:w="120"/>
            </w:tcMar>
          </w:tcPr>
          <w:p>
            <w:r>
              <w:rPr>
                <w:rFonts w:ascii="Poppins" w:cs="Poppins" w:eastAsia="Poppins" w:hAnsi="Poppins"/>
                <w:b/>
                <w:bCs/>
                <w:color w:val="FFFFFF"/>
                <w:sz w:val="24"/>
                <w:szCs w:val="24"/>
              </w:rPr>
              <w:t xml:space="preserve">Recover</w:t>
            </w:r>
          </w:p>
        </w:tc>
      </w:tr>
      <w:tr>
        <w:tc>
          <w:tcPr>
            <w:tcW w:type="dxa" w:w="2000"/>
            <w:tcBorders>
              <w:top w:val="single" w:color="000000" w:sz="8"/>
              <w:left w:val="single" w:color="000000" w:sz="8"/>
              <w:bottom w:val="single" w:color="000000" w:sz="8"/>
              <w:right w:val="single" w:color="000000" w:sz="8"/>
            </w:tcBorders>
            <w:shd w:fill="D9E1F2" w:val="clear"/>
            <w:tcMar>
              <w:top w:type="dxa" w:w="100"/>
              <w:left w:type="dxa" w:w="120"/>
              <w:bottom w:type="dxa" w:w="100"/>
              <w:right w:type="dxa" w:w="120"/>
            </w:tcMar>
            <w:vAlign w:val="top"/>
          </w:tcPr>
          <w:p>
            <w:r>
              <w:rPr>
                <w:rFonts w:ascii="Poppins" w:cs="Poppins" w:eastAsia="Poppins" w:hAnsi="Poppins"/>
                <w:b/>
                <w:bCs/>
                <w:sz w:val="22"/>
                <w:szCs w:val="22"/>
              </w:rPr>
              <w:t xml:space="preserve">Service Restoration</w:t>
            </w:r>
          </w:p>
        </w:tc>
        <w:tc>
          <w:tcPr>
            <w:tcBorders>
              <w:top w:val="single" w:color="000000" w:sz="8"/>
              <w:left w:val="single" w:color="000000" w:sz="8"/>
              <w:bottom w:val="single" w:color="000000" w:sz="8"/>
              <w:right w:val="single" w:color="000000" w:sz="8"/>
            </w:tcBorders>
            <w:shd w:fill="EEF2FF" w:val="clear"/>
            <w:tcMar>
              <w:top w:type="dxa" w:w="100"/>
              <w:left w:type="dxa" w:w="120"/>
              <w:bottom w:type="dxa" w:w="100"/>
              <w:right w:type="dxa" w:w="120"/>
            </w:tcMar>
            <w:vAlign w:val="top"/>
          </w:tcPr>
          <w:p>
            <w:pPr>
              <w:spacing w:line="320" w:lineRule="auto"/>
            </w:pPr>
            <w:r>
              <w:rPr>
                <w:rFonts w:ascii="Poppins" w:cs="Poppins" w:eastAsia="Poppins" w:hAnsi="Poppins"/>
                <w:sz w:val="22"/>
                <w:szCs w:val="22"/>
              </w:rPr>
              <w:t xml:space="preserve">Restore all critical network services using system backups, then gradually bring non-critical services back online once the network is confirmed stable.</w:t>
            </w:r>
          </w:p>
        </w:tc>
      </w:tr>
      <w:tr>
        <w:tc>
          <w:tcPr>
            <w:tcW w:type="dxa" w:w="2000"/>
            <w:tcBorders>
              <w:top w:val="single" w:color="000000" w:sz="8"/>
              <w:left w:val="single" w:color="000000" w:sz="8"/>
              <w:bottom w:val="single" w:color="000000" w:sz="8"/>
              <w:right w:val="single" w:color="000000" w:sz="8"/>
            </w:tcBorders>
            <w:shd w:fill="D9E1F2" w:val="clear"/>
            <w:tcMar>
              <w:top w:type="dxa" w:w="100"/>
              <w:left w:type="dxa" w:w="120"/>
              <w:bottom w:type="dxa" w:w="100"/>
              <w:right w:type="dxa" w:w="120"/>
            </w:tcMar>
            <w:vAlign w:val="top"/>
          </w:tcPr>
          <w:p>
            <w:r>
              <w:rPr>
                <w:rFonts w:ascii="Poppins" w:cs="Poppins" w:eastAsia="Poppins" w:hAnsi="Poppins"/>
                <w:b/>
                <w:bCs/>
                <w:sz w:val="22"/>
                <w:szCs w:val="22"/>
              </w:rPr>
              <w:t xml:space="preserve">Documentation</w:t>
            </w:r>
          </w:p>
        </w:tc>
        <w:tc>
          <w:tcPr>
            <w:tcBorders>
              <w:top w:val="single" w:color="000000" w:sz="8"/>
              <w:left w:val="single" w:color="000000" w:sz="8"/>
              <w:bottom w:val="single" w:color="000000" w:sz="8"/>
              <w:right w:val="single" w:color="000000" w:sz="8"/>
            </w:tcBorders>
            <w:shd w:fill="FFFFFF" w:val="clear"/>
            <w:tcMar>
              <w:top w:type="dxa" w:w="100"/>
              <w:left w:type="dxa" w:w="120"/>
              <w:bottom w:type="dxa" w:w="100"/>
              <w:right w:type="dxa" w:w="120"/>
            </w:tcMar>
            <w:vAlign w:val="top"/>
          </w:tcPr>
          <w:p>
            <w:pPr>
              <w:spacing w:line="320" w:lineRule="auto"/>
            </w:pPr>
            <w:r>
              <w:rPr>
                <w:rFonts w:ascii="Poppins" w:cs="Poppins" w:eastAsia="Poppins" w:hAnsi="Poppins"/>
                <w:sz w:val="22"/>
                <w:szCs w:val="22"/>
              </w:rPr>
              <w:t xml:space="preserve">Document the full incident including the timeline, attack method, systems affected, and all steps taken to contain and resolve the attack.</w:t>
            </w:r>
          </w:p>
        </w:tc>
      </w:tr>
      <w:tr>
        <w:tc>
          <w:tcPr>
            <w:tcW w:type="dxa" w:w="2000"/>
            <w:tcBorders>
              <w:top w:val="single" w:color="000000" w:sz="8"/>
              <w:left w:val="single" w:color="000000" w:sz="8"/>
              <w:bottom w:val="single" w:color="000000" w:sz="8"/>
              <w:right w:val="single" w:color="000000" w:sz="8"/>
            </w:tcBorders>
            <w:shd w:fill="D9E1F2" w:val="clear"/>
            <w:tcMar>
              <w:top w:type="dxa" w:w="100"/>
              <w:left w:type="dxa" w:w="120"/>
              <w:bottom w:type="dxa" w:w="100"/>
              <w:right w:type="dxa" w:w="120"/>
            </w:tcMar>
            <w:vAlign w:val="top"/>
          </w:tcPr>
          <w:p>
            <w:r>
              <w:rPr>
                <w:rFonts w:ascii="Poppins" w:cs="Poppins" w:eastAsia="Poppins" w:hAnsi="Poppins"/>
                <w:b/>
                <w:bCs/>
                <w:sz w:val="22"/>
                <w:szCs w:val="22"/>
              </w:rPr>
              <w:t xml:space="preserve">Stakeholder Communication</w:t>
            </w:r>
          </w:p>
        </w:tc>
        <w:tc>
          <w:tcPr>
            <w:tcBorders>
              <w:top w:val="single" w:color="000000" w:sz="8"/>
              <w:left w:val="single" w:color="000000" w:sz="8"/>
              <w:bottom w:val="single" w:color="000000" w:sz="8"/>
              <w:right w:val="single" w:color="000000" w:sz="8"/>
            </w:tcBorders>
            <w:shd w:fill="EEF2FF" w:val="clear"/>
            <w:tcMar>
              <w:top w:type="dxa" w:w="100"/>
              <w:left w:type="dxa" w:w="120"/>
              <w:bottom w:type="dxa" w:w="100"/>
              <w:right w:type="dxa" w:w="120"/>
            </w:tcMar>
            <w:vAlign w:val="top"/>
          </w:tcPr>
          <w:p>
            <w:pPr>
              <w:spacing w:line="320" w:lineRule="auto"/>
            </w:pPr>
            <w:r>
              <w:rPr>
                <w:rFonts w:ascii="Poppins" w:cs="Poppins" w:eastAsia="Poppins" w:hAnsi="Poppins"/>
                <w:sz w:val="22"/>
                <w:szCs w:val="22"/>
              </w:rPr>
              <w:t xml:space="preserve">Communicate findings and lessons learned to organisational leadership and stakeholders to maintain transparency and support future security improvements.</w:t>
            </w:r>
          </w:p>
        </w:tc>
      </w:tr>
      <w:tr>
        <w:tc>
          <w:tcPr>
            <w:tcW w:type="dxa" w:w="2000"/>
            <w:tcBorders>
              <w:top w:val="single" w:color="000000" w:sz="8"/>
              <w:left w:val="single" w:color="000000" w:sz="8"/>
              <w:bottom w:val="single" w:color="000000" w:sz="8"/>
              <w:right w:val="single" w:color="000000" w:sz="8"/>
            </w:tcBorders>
            <w:shd w:fill="D9E1F2" w:val="clear"/>
            <w:tcMar>
              <w:top w:type="dxa" w:w="100"/>
              <w:left w:type="dxa" w:w="120"/>
              <w:bottom w:type="dxa" w:w="100"/>
              <w:right w:type="dxa" w:w="120"/>
            </w:tcMar>
            <w:vAlign w:val="top"/>
          </w:tcPr>
          <w:p>
            <w:r>
              <w:rPr>
                <w:rFonts w:ascii="Poppins" w:cs="Poppins" w:eastAsia="Poppins" w:hAnsi="Poppins"/>
                <w:b/>
                <w:bCs/>
                <w:sz w:val="22"/>
                <w:szCs w:val="22"/>
              </w:rPr>
              <w:t xml:space="preserve">Policy Review</w:t>
            </w:r>
          </w:p>
        </w:tc>
        <w:tc>
          <w:tcPr>
            <w:tcBorders>
              <w:top w:val="single" w:color="000000" w:sz="8"/>
              <w:left w:val="single" w:color="000000" w:sz="8"/>
              <w:bottom w:val="single" w:color="000000" w:sz="8"/>
              <w:right w:val="single" w:color="000000" w:sz="8"/>
            </w:tcBorders>
            <w:shd w:fill="FFFFFF" w:val="clear"/>
            <w:tcMar>
              <w:top w:type="dxa" w:w="100"/>
              <w:left w:type="dxa" w:w="120"/>
              <w:bottom w:type="dxa" w:w="100"/>
              <w:right w:type="dxa" w:w="120"/>
            </w:tcMar>
            <w:vAlign w:val="top"/>
          </w:tcPr>
          <w:p>
            <w:pPr>
              <w:spacing w:line="320" w:lineRule="auto"/>
            </w:pPr>
            <w:r>
              <w:rPr>
                <w:rFonts w:ascii="Poppins" w:cs="Poppins" w:eastAsia="Poppins" w:hAnsi="Poppins"/>
                <w:sz w:val="22"/>
                <w:szCs w:val="22"/>
              </w:rPr>
              <w:t xml:space="preserve">Review and update firewall configurations and network security policies based on the incident to reduce the risk of a similar attack occurring again.</w:t>
            </w:r>
          </w:p>
        </w:tc>
      </w:tr>
    </w:tbl>
    <w:p>
      <w:pPr>
        <w:spacing w:after="200"/>
      </w:pPr>
      <w:r>
        <w:t xml:space="preserve"/>
      </w:r>
    </w:p>
    <w:p>
      <w:pPr>
        <w:pStyle w:val="Heading1"/>
        <w:spacing w:after="120" w:before="300"/>
      </w:pPr>
      <w:r>
        <w:rPr>
          <w:rFonts w:ascii="Poppins" w:cs="Poppins" w:eastAsia="Poppins" w:hAnsi="Poppins"/>
          <w:b/>
          <w:bCs/>
          <w:color w:val="2C3E7A"/>
          <w:sz w:val="28"/>
          <w:szCs w:val="28"/>
        </w:rPr>
        <w:t xml:space="preserve">4. Recommendations</w:t>
      </w:r>
    </w:p>
    <w:p>
      <w:pPr>
        <w:spacing w:after="120" w:line="320" w:lineRule="auto"/>
      </w:pPr>
      <w:r>
        <w:rPr>
          <w:rFonts w:ascii="Poppins" w:cs="Poppins" w:eastAsia="Poppins" w:hAnsi="Poppins"/>
          <w:sz w:val="22"/>
          <w:szCs w:val="22"/>
        </w:rPr>
        <w:t xml:space="preserve">Based on the NIST CSF analysis, the following immediate actions are recommended to prevent a recurrence of this type of attack:</w:t>
      </w:r>
    </w:p>
    <w:p>
      <w:pPr>
        <w:pStyle w:val="ListParagraph"/>
        <w:numPr>
          <w:ilvl w:val="0"/>
          <w:numId w:val="1"/>
        </w:numPr>
        <w:spacing w:after="80" w:line="300" w:lineRule="auto"/>
      </w:pPr>
      <w:r>
        <w:rPr>
          <w:rFonts w:ascii="Poppins" w:cs="Poppins" w:eastAsia="Poppins" w:hAnsi="Poppins"/>
          <w:sz w:val="22"/>
          <w:szCs w:val="22"/>
        </w:rPr>
        <w:t xml:space="preserve">Configure and enforce firewall rules to limit and filter incoming ICMP traffic at all times.</w:t>
      </w:r>
    </w:p>
    <w:p>
      <w:pPr>
        <w:pStyle w:val="ListParagraph"/>
        <w:numPr>
          <w:ilvl w:val="0"/>
          <w:numId w:val="1"/>
        </w:numPr>
        <w:spacing w:after="80" w:line="300" w:lineRule="auto"/>
      </w:pPr>
      <w:r>
        <w:rPr>
          <w:rFonts w:ascii="Poppins" w:cs="Poppins" w:eastAsia="Poppins" w:hAnsi="Poppins"/>
          <w:sz w:val="22"/>
          <w:szCs w:val="22"/>
        </w:rPr>
        <w:t xml:space="preserve">Enable source IP address verification on all network firewalls to detect and block IP spoofing attempts.</w:t>
      </w:r>
    </w:p>
    <w:p>
      <w:pPr>
        <w:pStyle w:val="ListParagraph"/>
        <w:numPr>
          <w:ilvl w:val="0"/>
          <w:numId w:val="1"/>
        </w:numPr>
        <w:spacing w:after="80" w:line="300" w:lineRule="auto"/>
      </w:pPr>
      <w:r>
        <w:rPr>
          <w:rFonts w:ascii="Poppins" w:cs="Poppins" w:eastAsia="Poppins" w:hAnsi="Poppins"/>
          <w:sz w:val="22"/>
          <w:szCs w:val="22"/>
        </w:rPr>
        <w:t xml:space="preserve">Deploy a SIEM tool and IDS/IPS system to provide real-time detection and alerting capabilities for abnormal network activity.</w:t>
      </w:r>
    </w:p>
    <w:p>
      <w:pPr>
        <w:pStyle w:val="ListParagraph"/>
        <w:numPr>
          <w:ilvl w:val="0"/>
          <w:numId w:val="1"/>
        </w:numPr>
        <w:spacing w:after="80" w:line="300" w:lineRule="auto"/>
      </w:pPr>
      <w:r>
        <w:rPr>
          <w:rFonts w:ascii="Poppins" w:cs="Poppins" w:eastAsia="Poppins" w:hAnsi="Poppins"/>
          <w:sz w:val="22"/>
          <w:szCs w:val="22"/>
        </w:rPr>
        <w:t xml:space="preserve">Establish a regular firewall audit schedule to ensure configurations remain up to date and aligned with current security requirements.</w:t>
      </w:r>
    </w:p>
    <w:p>
      <w:pPr>
        <w:pStyle w:val="ListParagraph"/>
        <w:numPr>
          <w:ilvl w:val="0"/>
          <w:numId w:val="1"/>
        </w:numPr>
        <w:spacing w:after="80" w:line="300" w:lineRule="auto"/>
      </w:pPr>
      <w:r>
        <w:rPr>
          <w:rFonts w:ascii="Poppins" w:cs="Poppins" w:eastAsia="Poppins" w:hAnsi="Poppins"/>
          <w:sz w:val="22"/>
          <w:szCs w:val="22"/>
        </w:rPr>
        <w:t xml:space="preserve">Train network administrators on secure firewall configuration and maintenance best practices.</w:t>
      </w:r>
    </w:p>
    <w:p>
      <w:pPr>
        <w:spacing w:after="300"/>
      </w:pPr>
      <w:r>
        <w:t xml:space="preserve"/>
      </w:r>
    </w:p>
    <w:p>
      <w:pPr>
        <w:jc w:val="center"/>
      </w:pPr>
      <w:r>
        <w:rPr>
          <w:rFonts w:ascii="Poppins" w:cs="Poppins" w:eastAsia="Poppins" w:hAnsi="Poppins"/>
          <w:i/>
          <w:iCs/>
          <w:color w:val="888888"/>
          <w:sz w:val="18"/>
          <w:szCs w:val="18"/>
        </w:rPr>
        <w:t xml:space="preserve">Prepared as part of the Google Cybersecurity Certificate Program | Portfolio Activity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2026-05-29T20:13:44.712Z</dcterms:created>
  <dcterms:modified xsi:type="dcterms:W3CDTF">2026-05-29T20:13:44.712Z</dcterms:modified>
</cp:coreProperties>
</file>

<file path=docProps/custom.xml><?xml version="1.0" encoding="utf-8"?>
<Properties xmlns="http://schemas.openxmlformats.org/officeDocument/2006/custom-properties" xmlns:vt="http://schemas.openxmlformats.org/officeDocument/2006/docPropsVTypes"/>
</file>