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Poppins" w:cs="Poppins" w:eastAsia="Poppins" w:hAnsi="Poppins"/>
          <w:b/>
          <w:bCs/>
          <w:color w:val="2E75B6"/>
          <w:sz w:val="32"/>
          <w:szCs w:val="32"/>
        </w:rPr>
        <w:t xml:space="preserve">Vulnerability Assessment Report</w:t>
      </w:r>
    </w:p>
    <w:p>
      <w:pPr>
        <w:spacing w:after="360"/>
        <w:jc w:val="center"/>
      </w:pPr>
      <w:r>
        <w:rPr>
          <w:rFonts w:ascii="Poppins" w:cs="Poppins" w:eastAsia="Poppins" w:hAnsi="Poppins"/>
          <w:color w:val="666666"/>
          <w:sz w:val="20"/>
          <w:szCs w:val="20"/>
        </w:rPr>
        <w:t xml:space="preserve">19th June 2026</w:t>
      </w:r>
    </w:p>
    <w:p>
      <w:pPr>
        <w:pBdr>
          <w:bottom w:val="single" w:color="2E75B6" w:sz="6" w:space="1"/>
        </w:pBdr>
        <w:spacing w:after="120" w:before="240"/>
      </w:pPr>
      <w:r>
        <w:rPr>
          <w:rFonts w:ascii="Poppins" w:cs="Poppins" w:eastAsia="Poppins" w:hAnsi="Poppins"/>
          <w:b/>
          <w:bCs/>
          <w:color w:val="2E75B6"/>
          <w:sz w:val="24"/>
          <w:szCs w:val="24"/>
        </w:rPr>
        <w:t xml:space="preserve">System Description</w:t>
      </w:r>
    </w:p>
    <w:p>
      <w:pPr>
        <w:spacing w:after="80" w:before="80"/>
      </w:pPr>
      <w:r>
        <w:rPr>
          <w:rFonts w:ascii="Poppins" w:cs="Poppins" w:eastAsia="Poppins" w:hAnsi="Poppins"/>
          <w:sz w:val="20"/>
          <w:szCs w:val="2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pPr>
        <w:pBdr>
          <w:bottom w:val="single" w:color="2E75B6" w:sz="6" w:space="1"/>
        </w:pBdr>
        <w:spacing w:after="120" w:before="240"/>
      </w:pPr>
      <w:r>
        <w:rPr>
          <w:rFonts w:ascii="Poppins" w:cs="Poppins" w:eastAsia="Poppins" w:hAnsi="Poppins"/>
          <w:b/>
          <w:bCs/>
          <w:color w:val="2E75B6"/>
          <w:sz w:val="24"/>
          <w:szCs w:val="24"/>
        </w:rPr>
        <w:t xml:space="preserve">Scope</w:t>
      </w:r>
    </w:p>
    <w:p>
      <w:pPr>
        <w:spacing w:after="80" w:before="80"/>
      </w:pPr>
      <w:r>
        <w:rPr>
          <w:rFonts w:ascii="Poppins" w:cs="Poppins" w:eastAsia="Poppins" w:hAnsi="Poppins"/>
          <w:sz w:val="20"/>
          <w:szCs w:val="20"/>
        </w:rPr>
        <w:t xml:space="preserve">The scope of this vulnerability assessment relates to the current access controls of the system. The assessment will cover a period of three months, from June 20XX to August 20XX. NIST SP 800-30 Rev. 1 is used to guide the risk analysis of the information system.</w:t>
      </w:r>
    </w:p>
    <w:p>
      <w:pPr>
        <w:pBdr>
          <w:bottom w:val="single" w:color="2E75B6" w:sz="6" w:space="1"/>
        </w:pBdr>
        <w:spacing w:after="120" w:before="240"/>
      </w:pPr>
      <w:r>
        <w:rPr>
          <w:rFonts w:ascii="Poppins" w:cs="Poppins" w:eastAsia="Poppins" w:hAnsi="Poppins"/>
          <w:b/>
          <w:bCs/>
          <w:color w:val="2E75B6"/>
          <w:sz w:val="24"/>
          <w:szCs w:val="24"/>
        </w:rPr>
        <w:t xml:space="preserve">Purpose</w:t>
      </w:r>
    </w:p>
    <w:p>
      <w:pPr>
        <w:spacing w:after="80" w:before="80"/>
      </w:pPr>
      <w:r>
        <w:rPr>
          <w:rFonts w:ascii="Poppins" w:cs="Poppins" w:eastAsia="Poppins" w:hAnsi="Poppins"/>
          <w:sz w:val="20"/>
          <w:szCs w:val="20"/>
        </w:rPr>
        <w:t xml:space="preserve">The database server is a critical component of the organization's operations, housing customer and operational data that employees query regularly to support business functions. Because the server stores personally identifiable information (PII) and other sensitive data, unauthorized access or exposure could result in significant financial and reputational harm to the company. A data breach involving customer PII may also trigger regulatory obligations and legal liability. Additionally, any disruption to server availability would interrupt core business activities, leading to operational downtime and associated costs. This assessment aims to identify the risks posed by the server's current public-facing configuration and recommend controls to reduce exposure.</w:t>
      </w:r>
    </w:p>
    <w:p>
      <w:pPr>
        <w:pBdr>
          <w:bottom w:val="single" w:color="2E75B6" w:sz="6" w:space="1"/>
        </w:pBdr>
        <w:spacing w:after="120" w:before="240"/>
      </w:pPr>
      <w:r>
        <w:rPr>
          <w:rFonts w:ascii="Poppins" w:cs="Poppins" w:eastAsia="Poppins" w:hAnsi="Poppins"/>
          <w:b/>
          <w:bCs/>
          <w:color w:val="2E75B6"/>
          <w:sz w:val="24"/>
          <w:szCs w:val="24"/>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1200"/>
        <w:gridCol w:w="1200"/>
        <w:gridCol w:w="80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Poppins" w:cs="Poppins" w:eastAsia="Poppins" w:hAnsi="Poppins"/>
                <w:b/>
                <w:bCs/>
                <w:color w:val="FFFFFF"/>
                <w:sz w:val="20"/>
                <w:szCs w:val="20"/>
              </w:rPr>
              <w:t xml:space="preserve">Threat Source</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Poppins" w:cs="Poppins" w:eastAsia="Poppins" w:hAnsi="Poppins"/>
                <w:b/>
                <w:bCs/>
                <w:color w:val="FFFFFF"/>
                <w:sz w:val="20"/>
                <w:szCs w:val="20"/>
              </w:rPr>
              <w:t xml:space="preserve">Threat Event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Poppins" w:cs="Poppins" w:eastAsia="Poppins" w:hAnsi="Poppins"/>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Poppins" w:cs="Poppins" w:eastAsia="Poppins" w:hAnsi="Poppins"/>
                <w:b/>
                <w:bCs/>
                <w:color w:val="FFFFFF"/>
                <w:sz w:val="20"/>
                <w:szCs w:val="20"/>
              </w:rPr>
              <w:t xml:space="preserve">Severity</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Poppins" w:cs="Poppins" w:eastAsia="Poppins" w:hAnsi="Poppins"/>
                <w:b/>
                <w:bCs/>
                <w:color w:val="FFFFFF"/>
                <w:sz w:val="20"/>
                <w:szCs w:val="20"/>
              </w:rPr>
              <w:t xml:space="preserve">Risk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Hacker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Perform reconnaissance and surveillance of the organization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9</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Competitor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Disrupt mission-critical operations by compromising the integrity of information in such a way that prevents the business from carrying out critical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Malicious software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Locate and acquire sensitive information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sz w:val="20"/>
                <w:szCs w:val="20"/>
              </w:rPr>
              <w:t xml:space="preserve">9</w:t>
            </w:r>
          </w:p>
        </w:tc>
      </w:tr>
    </w:tbl>
    <w:p>
      <w:pPr>
        <w:spacing w:before="240"/>
      </w:pPr>
    </w:p>
    <w:p>
      <w:pPr>
        <w:pBdr>
          <w:bottom w:val="single" w:color="2E75B6" w:sz="6" w:space="1"/>
        </w:pBdr>
        <w:spacing w:after="120" w:before="240"/>
      </w:pPr>
      <w:r>
        <w:rPr>
          <w:rFonts w:ascii="Poppins" w:cs="Poppins" w:eastAsia="Poppins" w:hAnsi="Poppins"/>
          <w:b/>
          <w:bCs/>
          <w:color w:val="2E75B6"/>
          <w:sz w:val="24"/>
          <w:szCs w:val="24"/>
        </w:rPr>
        <w:t xml:space="preserve">Approach</w:t>
      </w:r>
    </w:p>
    <w:p>
      <w:pPr>
        <w:spacing w:after="80" w:before="80"/>
      </w:pPr>
      <w:r>
        <w:rPr>
          <w:rFonts w:ascii="Poppins" w:cs="Poppins" w:eastAsia="Poppins" w:hAnsi="Poppins"/>
          <w:sz w:val="20"/>
          <w:szCs w:val="20"/>
        </w:rPr>
        <w:t xml:space="preserve">The three threat sources were selected based on the server's current configuration as a publicly accessible database that has been exposed to the internet for three years without strong access controls. A hacker was identified as a high likelihood threat because their primary intent is to exploit vulnerable systems for personal gain, and an openly accessible database presents an attractive target. Malicious software was also rated high likelihood because threat actors design it specifically to identify and exploit weaknesses in systems like this one. A competitor was rated low likelihood because organisations operating in the same market are subject to regulatory oversight that constrains deliberate interference, however the severity was rated high because a successful disruption to operations would prevent the business from serving customers, driving them toward competitors and resulting in significant revenue loss. Likelihood and severity scores were assigned based on the accessibility of the server, the sensitivity of the data it holds, and the potential business impact of each threat event.</w:t>
      </w:r>
    </w:p>
    <w:p>
      <w:pPr>
        <w:pBdr>
          <w:bottom w:val="single" w:color="2E75B6" w:sz="6" w:space="1"/>
        </w:pBdr>
        <w:spacing w:after="120" w:before="240"/>
      </w:pPr>
      <w:r>
        <w:rPr>
          <w:rFonts w:ascii="Poppins" w:cs="Poppins" w:eastAsia="Poppins" w:hAnsi="Poppins"/>
          <w:b/>
          <w:bCs/>
          <w:color w:val="2E75B6"/>
          <w:sz w:val="24"/>
          <w:szCs w:val="24"/>
        </w:rPr>
        <w:t xml:space="preserve">Remediation Strategy</w:t>
      </w:r>
    </w:p>
    <w:p>
      <w:pPr>
        <w:spacing w:after="80" w:before="80"/>
      </w:pPr>
      <w:r>
        <w:rPr>
          <w:rFonts w:ascii="Poppins" w:cs="Poppins" w:eastAsia="Poppins" w:hAnsi="Poppins"/>
          <w:sz w:val="20"/>
          <w:szCs w:val="20"/>
        </w:rPr>
        <w:t xml:space="preserve">To address the risks identified in this assessment, a defense in depth approach should be implemented to add multiple layers of security around the server, making it significantly more difficult for threat actors such as hackers to gain unauthorized access. Multi-factor authentication (MFA) should be enforced for all users who access the database, requiring verification through multiple methods so that compromised credentials alone are not sufficient to breach the system. The authentication, authorization, and accounting (AAA) framework should also be applied to ensure users are granted only the access necessary to perform their tasks, while all activity on the server is logged and monitored for suspicious behaviour. Together these controls reduce the attack surface exposed by the server's current public-facing configuration and provide both preventive and detective capabilities against the identified threats. Implementing these measures will improve the overall security posture of the system and reduce the likelihood and impact of a successful attack.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2026-06-19T22:10:20.319Z</dcterms:created>
  <dcterms:modified xsi:type="dcterms:W3CDTF">2026-06-19T22:10:20.320Z</dcterms:modified>
</cp:coreProperties>
</file>

<file path=docProps/custom.xml><?xml version="1.0" encoding="utf-8"?>
<Properties xmlns="http://schemas.openxmlformats.org/officeDocument/2006/custom-properties" xmlns:vt="http://schemas.openxmlformats.org/officeDocument/2006/docPropsVTypes"/>
</file>