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Analysebericht: IT-Bestandsaufnahme</w:t>
      </w:r>
    </w:p>
    <w:p>
      <w:pPr>
        <w:pStyle w:val="Heading1"/>
      </w:pPr>
      <w:r>
        <w:t>Analysebericht: IT-Bestandsaufnahme</w:t>
      </w:r>
    </w:p>
    <w:p>
      <w:r/>
      <w:r>
        <w:rPr>
          <w:b/>
        </w:rPr>
        <w:t>Kunde:</w:t>
      </w:r>
      <w:r>
        <w:t xml:space="preserve"> Musterfirma GmbH</w:t>
      </w:r>
    </w:p>
    <w:p>
      <w:r/>
      <w:r>
        <w:rPr>
          <w:b/>
        </w:rPr>
        <w:t>Projektnummer:</w:t>
      </w:r>
      <w:r>
        <w:t xml:space="preserve"> PROJ-RICH</w:t>
      </w:r>
    </w:p>
    <w:p>
      <w:r/>
      <w:r>
        <w:rPr>
          <w:b/>
        </w:rPr>
        <w:t>Bezeichnung:</w:t>
      </w:r>
      <w:r>
        <w:t xml:space="preserve"> Vollständige Infrastrukturanalyse</w:t>
      </w:r>
    </w:p>
    <w:p>
      <w:r/>
      <w:r>
        <w:rPr>
          <w:b/>
        </w:rPr>
        <w:t>Datum:</w:t>
      </w:r>
      <w:r>
        <w:t xml:space="preserve"> 11.08.2026</w:t>
      </w:r>
    </w:p>
    <w:p>
      <w:r/>
      <w:r>
        <w:rPr>
          <w:b/>
        </w:rPr>
        <w:t>Vertraulichkeitsstufe:</w:t>
      </w:r>
      <w:r>
        <w:t xml:space="preserve"> KUNDENTAUGLICH</w:t>
      </w:r>
    </w:p>
    <w:p>
      <w:pPr>
        <w:pStyle w:val="Heading2"/>
      </w:pPr>
      <w:r>
        <w:t>Vertraulichkeitshinweis</w:t>
      </w:r>
    </w:p>
    <w:p>
      <w:r>
        <w:t>Dieses Dokument enthält vertrauliche Informationen zur IT-Infrastruktur des Kunden. Eine Weitergabe an unbefugte Dritte ist ohne vorherige schriftliche Zustimmung nicht gestattet.</w:t>
      </w:r>
    </w:p>
    <w:p>
      <w:pPr>
        <w:pStyle w:val="Heading2"/>
      </w:pPr>
      <w:r>
        <w:t>1. Unternehmenskontext</w:t>
      </w:r>
    </w:p>
    <w:p>
      <w:r/>
      <w:r>
        <w:rPr>
          <w:b/>
        </w:rPr>
        <w:t>Geschäftszeiten:</w:t>
      </w:r>
      <w:r>
        <w:t xml:space="preserve"> Montag bis Freitag, 08:00 - 17:00 Uhr</w:t>
      </w:r>
    </w:p>
    <w:p>
      <w:pPr>
        <w:pStyle w:val="Heading2"/>
      </w:pPr>
      <w:r>
        <w:t>2. Executive Summary &amp; Bewertung der IT-Umgebung</w:t>
      </w:r>
    </w:p>
    <w:p>
      <w:r/>
      <w:r>
        <w:rPr>
          <w:b/>
        </w:rPr>
        <w:t>Gesamteinstufung:</w:t>
      </w:r>
      <w:r>
        <w:t xml:space="preserve"> Kritisch (0.0 %)</w:t>
      </w:r>
    </w:p>
    <w:p>
      <w:r/>
      <w:r>
        <w:rPr>
          <w:b/>
        </w:rPr>
        <w:t>Feldabdeckung:</w:t>
      </w:r>
      <w:r>
        <w:t xml:space="preserve"> 30.8 % | </w:t>
      </w:r>
      <w:r>
        <w:rPr>
          <w:b/>
        </w:rPr>
        <w:t>Bausteinabdeckung:</w:t>
      </w:r>
      <w:r>
        <w:t xml:space="preserve"> 100.0 %</w:t>
      </w:r>
    </w:p>
    <w:p>
      <w:r>
        <w:t xml:space="preserve">&gt; </w:t>
      </w:r>
      <w:r>
        <w:rPr>
          <w:b/>
        </w:rPr>
        <w:t>HINWEIS:</w:t>
      </w:r>
      <w:r>
        <w:t xml:space="preserve"> Die Bausteine wurden nicht vollständig erfasst. Die Bewertung bezieht sich ausschließlich auf die erfassten Bereiche.</w:t>
      </w:r>
    </w:p>
    <w:p>
      <w:pPr>
        <w:pStyle w:val="Heading3"/>
      </w:pPr>
      <w:r>
        <w:t>Bewertung nach Kategorien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Kategorie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Punkte Erreicht / Max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Erreichte Prozent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Einstufung</w:t>
            </w:r>
          </w:p>
        </w:tc>
      </w:tr>
      <w:tr>
        <w:tc>
          <w:tcPr>
            <w:tcW w:type="dxa" w:w="2160"/>
          </w:tcPr>
          <w:p>
            <w:r>
              <w:t>IT-Security und Bedrohungsmanagement</w:t>
            </w:r>
          </w:p>
        </w:tc>
        <w:tc>
          <w:tcPr>
            <w:tcW w:type="dxa" w:w="2160"/>
          </w:tcPr>
          <w:p>
            <w:r>
              <w:t>0.0 / 25.0</w:t>
            </w:r>
          </w:p>
        </w:tc>
        <w:tc>
          <w:tcPr>
            <w:tcW w:type="dxa" w:w="2160"/>
          </w:tcPr>
          <w:p>
            <w:r>
              <w:t>0.0 %</w:t>
            </w:r>
          </w:p>
        </w:tc>
        <w:tc>
          <w:tcPr>
            <w:tcW w:type="dxa" w:w="2160"/>
          </w:tcPr>
          <w:p>
            <w:r>
              <w:t>Kritisch</w:t>
            </w:r>
          </w:p>
        </w:tc>
      </w:tr>
      <w:tr>
        <w:tc>
          <w:tcPr>
            <w:tcW w:type="dxa" w:w="2160"/>
          </w:tcPr>
          <w:p>
            <w:r>
              <w:t>Zustand von Hardware und Software</w:t>
            </w:r>
          </w:p>
        </w:tc>
        <w:tc>
          <w:tcPr>
            <w:tcW w:type="dxa" w:w="2160"/>
          </w:tcPr>
          <w:p>
            <w:r>
              <w:t>0.0 / 15.0</w:t>
            </w:r>
          </w:p>
        </w:tc>
        <w:tc>
          <w:tcPr>
            <w:tcW w:type="dxa" w:w="2160"/>
          </w:tcPr>
          <w:p>
            <w:r>
              <w:t>0.0 %</w:t>
            </w:r>
          </w:p>
        </w:tc>
        <w:tc>
          <w:tcPr>
            <w:tcW w:type="dxa" w:w="2160"/>
          </w:tcPr>
          <w:p>
            <w:r>
              <w:t>Kritisch</w:t>
            </w:r>
          </w:p>
        </w:tc>
      </w:tr>
      <w:tr>
        <w:tc>
          <w:tcPr>
            <w:tcW w:type="dxa" w:w="2160"/>
          </w:tcPr>
          <w:p>
            <w:r>
              <w:t>Kritische Betriebsrisiken</w:t>
            </w:r>
          </w:p>
        </w:tc>
        <w:tc>
          <w:tcPr>
            <w:tcW w:type="dxa" w:w="2160"/>
          </w:tcPr>
          <w:p>
            <w:r>
              <w:t>0.0 / 20.0</w:t>
            </w:r>
          </w:p>
        </w:tc>
        <w:tc>
          <w:tcPr>
            <w:tcW w:type="dxa" w:w="2160"/>
          </w:tcPr>
          <w:p>
            <w:r>
              <w:t>0.0 %</w:t>
            </w:r>
          </w:p>
        </w:tc>
        <w:tc>
          <w:tcPr>
            <w:tcW w:type="dxa" w:w="2160"/>
          </w:tcPr>
          <w:p>
            <w:r>
              <w:t>Kritisch</w:t>
            </w:r>
          </w:p>
        </w:tc>
      </w:tr>
    </w:tbl>
    <w:p>
      <w:pPr>
        <w:pStyle w:val="Heading2"/>
      </w:pPr>
      <w:r>
        <w:t>3. Technische Infrastruktur und Fachkapitel</w:t>
      </w:r>
    </w:p>
    <w:p>
      <w:pPr>
        <w:pStyle w:val="Heading3"/>
      </w:pPr>
      <w:r>
        <w:t>Standort: Zentrale München (München)</w:t>
      </w:r>
    </w:p>
    <w:p>
      <w:r/>
      <w:r>
        <w:rPr>
          <w:b/>
        </w:rPr>
        <w:t>Internetanbindungen (3):</w:t>
      </w:r>
      <w:r>
        <w:t xml:space="preserve"> Telekom (Glasfaser_FTTH, 1000/500 Mbit/s), Vodafone (Kabel, 500/50 Mbit/s), O2 (LTE_5G, 100/20 Mbit/s)</w:t>
      </w:r>
    </w:p>
    <w:p>
      <w:pPr>
        <w:pStyle w:val="Heading4"/>
      </w:pPr>
      <w:r>
        <w:t>Haupt-Firewall Sophos (Firewall)</w:t>
      </w:r>
    </w:p>
    <w:p>
      <w:r>
        <w:t>Als zentrale Firewall kommt ein System des Herstellers Sophos zum Einsatz. Es besteht kein aktives Security-Abonnement für die Firewall. Die Firmware der Firewall hat den End-of-Life-Status erreicht und erhält keine Sicherheitsupdates mehr. Es liegt keine aktuelle Konfigurationssicherung der Firewall vor. Das Firewall-Gerät ist frei zugänglich aufgestellt.</w:t>
      </w:r>
    </w:p>
    <w:p>
      <w:pPr>
        <w:pStyle w:val="Heading2"/>
      </w:pPr>
      <w:r>
        <w:t>4. Übersichtstabellen Erfasster Systeme</w:t>
      </w:r>
    </w:p>
    <w:p>
      <w:pPr>
        <w:pStyle w:val="Heading3"/>
      </w:pPr>
      <w:r>
        <w:t>Übersicht: Firewall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Bezeichnung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Standort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Betreut durch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Haupt-Firewall Sophos</w:t>
            </w:r>
          </w:p>
        </w:tc>
        <w:tc>
          <w:tcPr>
            <w:tcW w:type="dxa" w:w="2160"/>
          </w:tcPr>
          <w:p>
            <w:r>
              <w:t>Zentrale München</w:t>
            </w:r>
          </w:p>
        </w:tc>
        <w:tc>
          <w:tcPr>
            <w:tcW w:type="dxa" w:w="2160"/>
          </w:tcPr>
          <w:p>
            <w:r>
              <w:t>wir</w:t>
            </w:r>
          </w:p>
        </w:tc>
        <w:tc>
          <w:tcPr>
            <w:tcW w:type="dxa" w:w="2160"/>
          </w:tcPr>
          <w:p>
            <w:r>
              <w:t>teilweise</w:t>
            </w:r>
          </w:p>
        </w:tc>
      </w:tr>
    </w:tbl>
    <w:p>
      <w:pPr>
        <w:pStyle w:val="Heading2"/>
      </w:pPr>
      <w:r>
        <w:t>5. Feststellungen (Findings)</w:t>
      </w:r>
    </w:p>
    <w:p>
      <w:r>
        <w:t>Es wurden keine aktiven Risiken oder Befunde identifiziert.</w:t>
      </w:r>
    </w:p>
    <w:p>
      <w:pPr>
        <w:pStyle w:val="Heading2"/>
      </w:pPr>
      <w:r>
        <w:t>6. Priorisierter Maßnahmenkatalog</w:t>
      </w:r>
    </w:p>
    <w:p>
      <w:pPr>
        <w:pStyle w:val="Heading3"/>
      </w:pPr>
      <w:r>
        <w:t>Umsetzungsstufe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Maßnahme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Priorität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Investition (€)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Monatlich (€)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Aufwand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Security-Abonnement der Firewall verlängern</w:t>
            </w:r>
          </w:p>
        </w:tc>
        <w:tc>
          <w:tcPr>
            <w:tcW w:type="dxa" w:w="1440"/>
          </w:tcPr>
          <w:p>
            <w:r>
              <w:t>hoch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Firewall-Hardware oder Firmware auf aktuelle Version erneuern</w:t>
            </w:r>
          </w:p>
        </w:tc>
        <w:tc>
          <w:tcPr>
            <w:tcW w:type="dxa" w:w="1440"/>
          </w:tcPr>
          <w:p>
            <w:r>
              <w:t>hoch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Automatische Konfigurationssicherung der Firewall einrichten</w:t>
            </w:r>
          </w:p>
        </w:tc>
        <w:tc>
          <w:tcPr>
            <w:tcW w:type="dxa" w:w="1440"/>
          </w:tcPr>
          <w:p>
            <w:r>
              <w:t>hoch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Physischen Zugangsschutz zum Serverraum herstellen</w:t>
            </w:r>
          </w:p>
        </w:tc>
        <w:tc>
          <w:tcPr>
            <w:tcW w:type="dxa" w:w="1440"/>
          </w:tcPr>
          <w:p>
            <w:r>
              <w:t>hoch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</w:tbl>
    <w:p>
      <w:pPr>
        <w:pStyle w:val="Heading3"/>
      </w:pPr>
      <w:r>
        <w:t>Umsetzungsstufe 2</w:t>
      </w:r>
    </w:p>
    <w:p>
      <w:r>
        <w:t>Keine Maßnahmen für diese Stufe zugeordnet.</w:t>
      </w:r>
    </w:p>
    <w:p>
      <w:pPr>
        <w:pStyle w:val="Heading3"/>
      </w:pPr>
      <w:r>
        <w:t>Umsetzungsstufe 3</w:t>
      </w:r>
    </w:p>
    <w:p>
      <w:r>
        <w:t>Keine Maßnahmen für diese Stufe zugeordnet.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