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Сапёров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алгоритм разложения чисел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программно алгоритм, реализующий p-метод Полларда.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Ознакомился с предоставленными теоретическими данными. Написал функцию Полларда</w:t>
      </w:r>
    </w:p>
    <w:p>
      <w:pPr>
        <w:pStyle w:val="CaptionedFigure"/>
      </w:pPr>
      <w:r>
        <w:drawing>
          <wp:inline>
            <wp:extent cx="5334000" cy="3106792"/>
            <wp:effectExtent b="0" l="0" r="0" t="0"/>
            <wp:docPr descr="Реализация алгоритма, реализующего p-метод Полларда" title="" id="23" name="Picture"/>
            <a:graphic>
              <a:graphicData uri="http://schemas.openxmlformats.org/drawingml/2006/picture">
                <pic:pic>
                  <pic:nvPicPr>
                    <pic:cNvPr descr="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алгоритма, реализующего p-метод Полларда</w:t>
      </w:r>
    </w:p>
    <w:bookmarkEnd w:id="25"/>
    <w:bookmarkStart w:id="30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Нашёл нетривиальный делитель</w:t>
      </w:r>
    </w:p>
    <w:p>
      <w:pPr>
        <w:pStyle w:val="CaptionedFigure"/>
      </w:pPr>
      <w:bookmarkStart w:id="29" w:name="fig:002"/>
      <w:r>
        <w:drawing>
          <wp:inline>
            <wp:extent cx="4415245" cy="2969622"/>
            <wp:effectExtent b="0" l="0" r="0" t="0"/>
            <wp:docPr descr="Figure 1: Разложение на множители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45" cy="296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Разложение на множители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алгоритмом, реализующем p-метод Полларда, и реализовал его программно.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Сапёров Максим Александрович, НПМмд-02-22</dc:creator>
  <dc:language>ru-RU</dc:language>
  <cp:keywords/>
  <dcterms:created xsi:type="dcterms:W3CDTF">2023-01-13T15:48:27Z</dcterms:created>
  <dcterms:modified xsi:type="dcterms:W3CDTF">2023-01-13T15:48:27Z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Table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eacher">
    <vt:lpwstr>Преподаватель: Кулябов Дмитрий Сергеевич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