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xlb0l3iujrlg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Evidências</w:t>
      </w:r>
      <w:r w:rsidDel="00000000" w:rsidR="00000000" w:rsidRPr="00000000">
        <w:rPr>
          <w:rFonts w:ascii="Montserrat SemiBold" w:cs="Montserrat SemiBold" w:eastAsia="Montserrat SemiBold" w:hAnsi="Montserrat SemiBold"/>
          <w:sz w:val="56"/>
          <w:szCs w:val="56"/>
          <w:rtl w:val="0"/>
        </w:rPr>
        <w:t xml:space="preserve">_c</w:t>
      </w:r>
      <w:r w:rsidDel="00000000" w:rsidR="00000000" w:rsidRPr="00000000">
        <w:rPr>
          <w:rFonts w:ascii="Montserrat SemiBold" w:cs="Montserrat SemiBold" w:eastAsia="Montserrat SemiBold" w:hAnsi="Montserrat SemiBold"/>
          <w:sz w:val="56"/>
          <w:szCs w:val="56"/>
          <w:rtl w:val="0"/>
        </w:rPr>
        <w:t xml:space="preserve">onsulta_categorias_e_quantidade_de_chamados_associados</w:t>
      </w:r>
      <w:r w:rsidDel="00000000" w:rsidR="00000000" w:rsidRPr="00000000">
        <w:rPr>
          <w:rFonts w:ascii="Montserrat SemiBold" w:cs="Montserrat SemiBold" w:eastAsia="Montserrat SemiBold" w:hAnsi="Montserrat SemiBold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– FASE 3 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Figura 1 e 2 – Consulta realizada e chamados visualizados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133600"/>
            <wp:effectExtent b="0" l="0" r="0" t="0"/>
            <wp:docPr id="20611219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31CFF"/>
  </w:style>
  <w:style w:type="paragraph" w:styleId="Ttulo1">
    <w:name w:val="heading 1"/>
    <w:basedOn w:val="Normal"/>
    <w:next w:val="Normal"/>
    <w:link w:val="Ttulo1Char"/>
    <w:uiPriority w:val="9"/>
    <w:qFormat w:val="1"/>
    <w:rsid w:val="00374C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74C8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74C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74C8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74C8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74C85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74C8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74C8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74C8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74C8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74C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74C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74C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74C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374C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374C8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374C8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374C85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74C8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74C85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374C8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8wqA4VXanUyQjEjZtXCoTaM5jw==">CgMxLjAyDmgueGxiMGwzaXVqcmxnOAByITF2d3JwVGxlNF91M0QtNUJZMEtYSHp1RDI5OTZEeHQzVA==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2025-04-08T01:31:00Z</dcterms:created>
  <dc:creator>de Bastos Lourival, Nicole Sabrine</dc:creator>
</cp:coreProperties>
</file>