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Montserrat SemiBold" w:cs="Montserrat SemiBold" w:eastAsia="Montserrat SemiBold" w:hAnsi="Montserrat SemiBold"/>
        </w:rPr>
      </w:pPr>
      <w:bookmarkStart w:colFirst="0" w:colLast="0" w:name="_heading=h.xlb0l3iujrlg" w:id="0"/>
      <w:bookmarkEnd w:id="0"/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Evidências_PL/SQL – FASE 3 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Figura 1 – Acesso ao SGBDR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5543550"/>
            <wp:effectExtent b="0" l="0" r="0" t="0"/>
            <wp:docPr id="206112190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Conexão estabelecida com o banco de dados da FIAP no Oracle SQL Developer. </w:t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Figura 2 – Tabelas criadas no Oracle SQL Developer.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3257550"/>
            <wp:effectExtent b="0" l="0" r="0" t="0"/>
            <wp:docPr id="20611219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Figura 3 e 4  – Evidência de execução do procedimento PL/SQL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943100"/>
            <wp:effectExtent b="0" l="0" r="0" t="0"/>
            <wp:docPr id="20611219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81000"/>
            <wp:effectExtent b="0" l="0" r="0" t="0"/>
            <wp:docPr id="206112190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E31CFF"/>
  </w:style>
  <w:style w:type="paragraph" w:styleId="Ttulo1">
    <w:name w:val="heading 1"/>
    <w:basedOn w:val="Normal"/>
    <w:next w:val="Normal"/>
    <w:link w:val="Ttulo1Char"/>
    <w:uiPriority w:val="9"/>
    <w:qFormat w:val="1"/>
    <w:rsid w:val="00374C8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74C8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74C8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74C8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74C8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74C8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74C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74C8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74C8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74C85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74C8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74C85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74C8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74C8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74C8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74C8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74C8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74C8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374C8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374C85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374C85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374C85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74C8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74C85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374C8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GtUgFxgI40RuDc5YfK4/nRHgA==">CgMxLjAyDmgueGxiMGwzaXVqcmxnOAByITFTckY5QVFWT2llWllycndSRlJkT3otU2M5N3lESXB6Tw==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2025-04-08T01:31:00Z</dcterms:created>
  <dc:creator>de Bastos Lourival, Nicole Sabrine</dc:creator>
</cp:coreProperties>
</file>