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pBdr>
          <w:bottom w:val="single" w:color="2B6CB0" w:sz="6" w:space="12"/>
        </w:pBdr>
        <w:spacing w:after="0"/>
        <w:jc w:val="center"/>
      </w:pPr>
      <w:r>
        <w:rPr>
          <w:rFonts w:ascii="DM Sans" w:cs="DM Sans" w:eastAsia="DM Sans" w:hAnsi="DM Sans"/>
          <w:b/>
          <w:bCs/>
          <w:color w:val="1A365D"/>
          <w:sz w:val="56"/>
          <w:szCs w:val="56"/>
        </w:rPr>
        <w:t xml:space="preserve">MyKad Developer Ecosystem</w:t>
      </w:r>
    </w:p>
    <w:p>
      <w:pPr>
        <w:spacing w:after="0" w:before="100"/>
      </w:pPr>
    </w:p>
    <w:p>
      <w:pPr>
        <w:spacing w:after="200"/>
        <w:jc w:val="center"/>
      </w:pPr>
      <w:r>
        <w:rPr>
          <w:rFonts w:ascii="DM Sans" w:cs="DM Sans" w:eastAsia="DM Sans" w:hAnsi="DM Sans"/>
          <w:color w:val="2B6CB0"/>
          <w:sz w:val="32"/>
          <w:szCs w:val="32"/>
        </w:rPr>
        <w:t xml:space="preserve">A Complete Research Portfolio</w:t>
      </w:r>
    </w:p>
    <w:p>
      <w:pPr>
        <w:spacing w:after="60"/>
        <w:jc w:val="center"/>
      </w:pPr>
      <w:r>
        <w:rPr>
          <w:rFonts w:ascii="DM Sans" w:cs="DM Sans" w:eastAsia="DM Sans" w:hAnsi="DM Sans"/>
          <w:color w:val="4A5568"/>
          <w:sz w:val="22"/>
          <w:szCs w:val="22"/>
        </w:rPr>
        <w:t xml:space="preserve">Reverse-Engineering, Documenting, and Building the Open-Source</w:t>
      </w:r>
    </w:p>
    <w:p>
      <w:pPr>
        <w:spacing w:after="400"/>
        <w:jc w:val="center"/>
      </w:pPr>
      <w:r>
        <w:rPr>
          <w:rFonts w:ascii="DM Sans" w:cs="DM Sans" w:eastAsia="DM Sans" w:hAnsi="DM Sans"/>
          <w:color w:val="4A5568"/>
          <w:sz w:val="22"/>
          <w:szCs w:val="22"/>
        </w:rPr>
        <w:t xml:space="preserve">Infrastructure for Malaysia’s National Identity Card System</w:t>
      </w:r>
    </w:p>
    <w:p>
      <w:pPr>
        <w:spacing w:after="0" w:before="600"/>
      </w:pPr>
    </w:p>
    <w:p>
      <w:pPr>
        <w:spacing w:after="60"/>
        <w:jc w:val="center"/>
      </w:pPr>
      <w:r>
        <w:rPr>
          <w:rFonts w:ascii="DM Sans" w:cs="DM Sans" w:eastAsia="DM Sans" w:hAnsi="DM Sans"/>
          <w:b/>
          <w:bCs/>
          <w:color w:val="1A365D"/>
          <w:sz w:val="26"/>
          <w:szCs w:val="26"/>
        </w:rPr>
        <w:t xml:space="preserve">Kesh (deadboy18)</w:t>
      </w:r>
    </w:p>
    <w:p>
      <w:pPr>
        <w:spacing w:after="60"/>
        <w:jc w:val="center"/>
      </w:pPr>
      <w:r>
        <w:rPr>
          <w:rFonts w:ascii="DM Sans" w:cs="DM Sans" w:eastAsia="DM Sans" w:hAnsi="DM Sans"/>
          <w:color w:val="4A5568"/>
          <w:sz w:val="20"/>
          <w:szCs w:val="20"/>
        </w:rPr>
        <w:t xml:space="preserve">11 April 2026</w:t>
      </w:r>
    </w:p>
    <w:p>
      <w:pPr>
        <w:spacing w:after="0" w:before="800"/>
      </w:pPr>
    </w:p>
    <w:p>
      <w:pPr>
        <w:jc w:val="center"/>
      </w:pPr>
      <w:r>
        <w:rPr>
          <w:rFonts w:ascii="DM Sans" w:cs="DM Sans" w:eastAsia="DM Sans" w:hAnsi="DM Sans"/>
          <w:i/>
          <w:iCs/>
          <w:color w:val="4A5568"/>
          <w:sz w:val="18"/>
          <w:szCs w:val="18"/>
        </w:rPr>
        <w:t xml:space="preserve">Multi-year independent research • No official documentation existed • Built from the ground up</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180" w:before="0" w:line="276"/>
        <w:jc w:val="left"/>
      </w:pPr>
      <w:r>
        <w:rPr>
          <w:rFonts w:ascii="DM Sans" w:cs="DM Sans" w:eastAsia="DM Sans" w:hAnsi="DM Sans"/>
          <w:color w:val="1A202C"/>
          <w:sz w:val="22"/>
          <w:szCs w:val="22"/>
        </w:rPr>
        <w:t xml:space="preserve">This document presents the complete body of research, tooling, and documentation I have produced over multiple years of independent work on the Malaysian National Identity Card (MyKad) system. The work fills a gap that has existed since the card’s introduction in 2001: JPN (Jabatan Pendaftaran Negara) has never published the APDU command sequences, the chip file structure byte maps, the checksum algorithm, or any developer-facing documentation for the MyKad smart card.</w:t>
      </w:r>
    </w:p>
    <w:p>
      <w:pPr>
        <w:spacing w:after="180" w:before="0" w:line="276"/>
        <w:jc w:val="left"/>
      </w:pPr>
      <w:r>
        <w:rPr>
          <w:rFonts w:ascii="DM Sans" w:cs="DM Sans" w:eastAsia="DM Sans" w:hAnsi="DM Sans"/>
          <w:color w:val="1A202C"/>
          <w:sz w:val="22"/>
          <w:szCs w:val="22"/>
        </w:rPr>
        <w:t xml:space="preserve">Before this project, a developer in Malaysia who needed to interface with the MyKad chip had no official documentation to work from. There was no single authoritative source, no reference implementation, and no production-ready tooling. The only option was extensive trial and error with real hardware, guessing at byte offsets, and dealing with undocumented bugs.</w:t>
      </w:r>
    </w:p>
    <w:p>
      <w:pPr>
        <w:spacing w:after="180" w:before="0" w:line="276"/>
        <w:jc w:val="left"/>
      </w:pPr>
      <w:r>
        <w:rPr>
          <w:rFonts w:ascii="DM Sans" w:cs="DM Sans" w:eastAsia="DM Sans" w:hAnsi="DM Sans"/>
          <w:color w:val="1A202C"/>
          <w:sz w:val="22"/>
          <w:szCs w:val="22"/>
        </w:rPr>
        <w:t xml:space="preserve">This research has produced four major deliverables that together form a complete, open-source MyKad developer ecosystem: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Deliverable</w:t>
            </w:r>
          </w:p>
        </w:tc>
        <w:tc>
          <w:tcPr>
            <w:tcW w:type="dxa" w:w="682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Description</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DM Sans" w:cs="DM Sans" w:eastAsia="DM Sans" w:hAnsi="DM Sans"/>
                <w:b/>
                <w:bCs/>
                <w:color w:val="1A202C"/>
                <w:sz w:val="20"/>
                <w:szCs w:val="20"/>
              </w:rPr>
              <w:t xml:space="preserve">Technical Reference</w:t>
            </w:r>
          </w:p>
        </w:tc>
        <w:tc>
          <w:tcPr>
            <w:tcW w:type="dxa" w:w="6826"/>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DM Sans" w:cs="DM Sans" w:eastAsia="DM Sans" w:hAnsi="DM Sans"/>
                <w:color w:val="1A202C"/>
                <w:sz w:val="20"/>
                <w:szCs w:val="20"/>
              </w:rPr>
              <w:t xml:space="preserve">23-chapter, 1,400+ line document covering every aspect of the MyKad system from physical card specs to byte-level chip parsing, with working implementations in 4 languages and checksum validators in 7 languages. Available in both Word and LLM-optimised Markdown formats.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Production Server</w:t>
            </w:r>
          </w:p>
        </w:tc>
        <w:tc>
          <w:tcPr>
            <w:tcW w:type="dxa" w:w="6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1,370-line Flask REST API with WebSocket multi-station architecture, SQLite with auto-migration, SSE real-time events, progressive card reading, returning-guest detection, multi-format export (PDF/Excel/CSV/JSON/TSV), authentication, and demo mode for PMS integration testing.</w:t>
            </w:r>
          </w:p>
        </w:tc>
      </w:tr>
      <w:tr>
        <w:tc>
          <w:tcPr>
            <w:tcW w:type="dxa" w:w="2200"/>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DM Sans" w:cs="DM Sans" w:eastAsia="DM Sans" w:hAnsi="DM Sans"/>
                <w:b/>
                <w:bCs/>
                <w:color w:val="1A202C"/>
                <w:sz w:val="20"/>
                <w:szCs w:val="20"/>
              </w:rPr>
              <w:t xml:space="preserve">IC Number Toolkit</w:t>
            </w:r>
          </w:p>
        </w:tc>
        <w:tc>
          <w:tcPr>
            <w:tcW w:type="dxa" w:w="6826"/>
            <w:tcBorders>
              <w:top w:val="single" w:color="CBD5E0" w:sz="1"/>
              <w:left w:val="single" w:color="CBD5E0" w:sz="1"/>
              <w:bottom w:val="single" w:color="CBD5E0" w:sz="1"/>
              <w:right w:val="single" w:color="CBD5E0" w:sz="1"/>
            </w:tcBorders>
            <w:shd w:fill="EBF4FF" w:val="clear"/>
            <w:tcMar>
              <w:top w:type="dxa" w:w="80"/>
              <w:left w:type="dxa" w:w="120"/>
              <w:bottom w:type="dxa" w:w="80"/>
              <w:right w:type="dxa" w:w="120"/>
            </w:tcMar>
          </w:tcPr>
          <w:p>
            <w:r>
              <w:rPr>
                <w:rFonts w:ascii="DM Sans" w:cs="DM Sans" w:eastAsia="DM Sans" w:hAnsi="DM Sans"/>
                <w:color w:val="1A202C"/>
                <w:sz w:val="20"/>
                <w:szCs w:val="20"/>
              </w:rPr>
              <w:t xml:space="preserve">1,410-line offline HTML application implementing ISO 7064 Mod 11,2 checksum validation, IC generation with all PB codes, century disambiguation, gender-parity assignment logic, batch generation, and a full reference tab. Bilingual English/Bahasa Malaysia.</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Abstracted Specification</w:t>
            </w:r>
          </w:p>
        </w:tc>
        <w:tc>
          <w:tcPr>
            <w:tcW w:type="dxa" w:w="6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Country-agnostic mathematical specification of the self-validating identifier system, stripped of Malaysia-specific implementation details. A clean, publishable document suitable for academic or standards reference.</w:t>
            </w:r>
          </w:p>
        </w:tc>
      </w:tr>
    </w:tbl>
    <w:p>
      <w:pPr>
        <w:spacing w:after="0" w:before="100"/>
      </w:pPr>
    </w:p>
    <w:p>
      <w:pPr>
        <w:spacing w:after="180" w:before="0" w:line="276"/>
        <w:jc w:val="left"/>
      </w:pPr>
      <w:r>
        <w:rPr>
          <w:rFonts w:ascii="DM Sans" w:cs="DM Sans" w:eastAsia="DM Sans" w:hAnsi="DM Sans"/>
          <w:color w:val="1A202C"/>
          <w:sz w:val="22"/>
          <w:szCs w:val="22"/>
        </w:rPr>
        <w:t xml:space="preserve">The total codebase across all deliverables exceeds 4,200 lines of production-quality code and documentation, representing years of hardware testing, reverse engineering, and original software development.</w:t>
      </w:r>
    </w:p>
    <w:p>
      <w:pPr>
        <w:pBdr>
          <w:bottom w:val="single" w:color="2B6CB0" w:sz="3" w:space="8"/>
        </w:pBdr>
        <w:spacing w:after="300" w:before="300"/>
      </w:pPr>
    </w:p>
    <w:p>
      <w:pPr>
        <w:pStyle w:val="Heading1"/>
      </w:pPr>
      <w:r>
        <w:t xml:space="preserve">The Problem: An Undocumented National System</w:t>
      </w:r>
    </w:p>
    <w:p>
      <w:pPr>
        <w:spacing w:after="180" w:before="0" w:line="276"/>
        <w:jc w:val="left"/>
      </w:pPr>
      <w:r>
        <w:rPr>
          <w:rFonts w:ascii="DM Sans" w:cs="DM Sans" w:eastAsia="DM Sans" w:hAnsi="DM Sans"/>
          <w:color w:val="1A202C"/>
          <w:sz w:val="22"/>
          <w:szCs w:val="22"/>
        </w:rPr>
        <w:t xml:space="preserve">Malaysia’s MyKad is carried by every citizen aged 12 and above. It is used for everything from hotel check-ins and banking KYC to government services and age verification. The contact chip on the card contains personal identity data, a JPEG photograph, fingerprint templates, and residential address information — all of which businesses and developers regularly need to access.</w:t>
      </w:r>
    </w:p>
    <w:p>
      <w:pPr>
        <w:spacing w:after="180" w:before="0" w:line="276"/>
        <w:jc w:val="left"/>
      </w:pPr>
      <w:r>
        <w:rPr>
          <w:rFonts w:ascii="DM Sans" w:cs="DM Sans" w:eastAsia="DM Sans" w:hAnsi="DM Sans"/>
          <w:color w:val="1A202C"/>
          <w:sz w:val="22"/>
          <w:szCs w:val="22"/>
        </w:rPr>
        <w:t xml:space="preserve">Despite this, JPN has never published:</w:t>
      </w:r>
    </w:p>
    <w:p>
      <w:pPr>
        <w:pStyle w:val="ListParagraph"/>
        <w:numPr>
          <w:ilvl w:val="0"/>
          <w:numId w:val="2"/>
        </w:numPr>
        <w:spacing w:after="80" w:line="276"/>
      </w:pPr>
      <w:r>
        <w:rPr>
          <w:rFonts w:ascii="DM Sans" w:cs="DM Sans" w:eastAsia="DM Sans" w:hAnsi="DM Sans"/>
          <w:color w:val="1A202C"/>
          <w:sz w:val="22"/>
          <w:szCs w:val="22"/>
        </w:rPr>
        <w:t xml:space="preserve">The APDU command sequences required to communicate with the chip</w:t>
      </w:r>
    </w:p>
    <w:p>
      <w:pPr>
        <w:pStyle w:val="ListParagraph"/>
        <w:numPr>
          <w:ilvl w:val="0"/>
          <w:numId w:val="2"/>
        </w:numPr>
        <w:spacing w:after="80" w:line="276"/>
      </w:pPr>
      <w:r>
        <w:rPr>
          <w:rFonts w:ascii="DM Sans" w:cs="DM Sans" w:eastAsia="DM Sans" w:hAnsi="DM Sans"/>
          <w:color w:val="1A202C"/>
          <w:sz w:val="22"/>
          <w:szCs w:val="22"/>
        </w:rPr>
        <w:t xml:space="preserve">The byte-level file structure maps needed to parse the raw data</w:t>
      </w:r>
    </w:p>
    <w:p>
      <w:pPr>
        <w:pStyle w:val="ListParagraph"/>
        <w:numPr>
          <w:ilvl w:val="0"/>
          <w:numId w:val="2"/>
        </w:numPr>
        <w:spacing w:after="80" w:line="276"/>
      </w:pPr>
      <w:r>
        <w:rPr>
          <w:rFonts w:ascii="DM Sans" w:cs="DM Sans" w:eastAsia="DM Sans" w:hAnsi="DM Sans"/>
          <w:color w:val="1A202C"/>
          <w:sz w:val="22"/>
          <w:szCs w:val="22"/>
        </w:rPr>
        <w:t xml:space="preserve">The checksum algorithm used to validate IC numbers</w:t>
      </w:r>
    </w:p>
    <w:p>
      <w:pPr>
        <w:pStyle w:val="ListParagraph"/>
        <w:numPr>
          <w:ilvl w:val="0"/>
          <w:numId w:val="2"/>
        </w:numPr>
        <w:spacing w:after="80" w:line="276"/>
      </w:pPr>
      <w:r>
        <w:rPr>
          <w:rFonts w:ascii="DM Sans" w:cs="DM Sans" w:eastAsia="DM Sans" w:hAnsi="DM Sans"/>
          <w:color w:val="1A202C"/>
          <w:sz w:val="22"/>
          <w:szCs w:val="22"/>
        </w:rPr>
        <w:t xml:space="preserve">Any SDK, API, or developer documentation of any kind</w:t>
      </w:r>
    </w:p>
    <w:p>
      <w:pPr>
        <w:pStyle w:val="ListParagraph"/>
        <w:numPr>
          <w:ilvl w:val="0"/>
          <w:numId w:val="2"/>
        </w:numPr>
        <w:spacing w:after="80" w:line="276"/>
      </w:pPr>
      <w:r>
        <w:rPr>
          <w:rFonts w:ascii="DM Sans" w:cs="DM Sans" w:eastAsia="DM Sans" w:hAnsi="DM Sans"/>
          <w:color w:val="1A202C"/>
          <w:sz w:val="22"/>
          <w:szCs w:val="22"/>
        </w:rPr>
        <w:t xml:space="preserve">The meaning of hardware-specific status words and error codes</w:t>
      </w:r>
    </w:p>
    <w:p>
      <w:pPr>
        <w:pStyle w:val="ListParagraph"/>
        <w:numPr>
          <w:ilvl w:val="0"/>
          <w:numId w:val="2"/>
        </w:numPr>
        <w:spacing w:after="80" w:line="276"/>
      </w:pPr>
      <w:r>
        <w:rPr>
          <w:rFonts w:ascii="DM Sans" w:cs="DM Sans" w:eastAsia="DM Sans" w:hAnsi="DM Sans"/>
          <w:color w:val="1A202C"/>
          <w:sz w:val="22"/>
          <w:szCs w:val="22"/>
        </w:rPr>
        <w:t xml:space="preserve">The correct payload formats for Set Length and Select Info commands</w:t>
      </w:r>
    </w:p>
    <w:p>
      <w:pPr>
        <w:spacing w:after="180" w:before="0" w:line="276"/>
        <w:jc w:val="left"/>
      </w:pPr>
      <w:r>
        <w:rPr>
          <w:rFonts w:ascii="DM Sans" w:cs="DM Sans" w:eastAsia="DM Sans" w:hAnsi="DM Sans"/>
          <w:color w:val="1A202C"/>
          <w:sz w:val="22"/>
          <w:szCs w:val="22"/>
        </w:rPr>
        <w:t xml:space="preserve">What existed before this project was essentially nothing usable. There were scattered fragments of partial information online, but no complete or verified documentation. Commercial vendors sold proprietary reader software without exposing the underlying protocol. Every developer who needed MyKad integration was essentially starting from scratch, repeating the same trial-and-error process, and hitting the same undocumented hardware bugs.</w:t>
      </w:r>
    </w:p>
    <w:p>
      <w:pPr>
        <w:pBdr>
          <w:bottom w:val="single" w:color="2B6CB0" w:sz="3" w:space="8"/>
        </w:pBdr>
        <w:spacing w:after="300" w:before="300"/>
      </w:pPr>
    </w:p>
    <w:p>
      <w:pPr>
        <w:pStyle w:val="Heading1"/>
      </w:pPr>
      <w:r>
        <w:t xml:space="preserve">Research Methodology</w:t>
      </w:r>
    </w:p>
    <w:p>
      <w:pPr>
        <w:spacing w:after="180" w:before="0" w:line="276"/>
        <w:jc w:val="left"/>
      </w:pPr>
      <w:r>
        <w:rPr>
          <w:rFonts w:ascii="DM Sans" w:cs="DM Sans" w:eastAsia="DM Sans" w:hAnsi="DM Sans"/>
          <w:color w:val="1A202C"/>
          <w:sz w:val="22"/>
          <w:szCs w:val="22"/>
        </w:rPr>
        <w:t xml:space="preserve">This project was conducted entirely through independent research, with no access to JPN’s internal documentation, proprietary SDKs, or official developer support. The methodology combined multiple approaches:</w:t>
      </w:r>
    </w:p>
    <w:p>
      <w:pPr>
        <w:pStyle w:val="Heading2"/>
      </w:pPr>
      <w:r>
        <w:t xml:space="preserve">Research and Analysis</w:t>
      </w:r>
    </w:p>
    <w:p>
      <w:pPr>
        <w:spacing w:after="180" w:before="0" w:line="276"/>
        <w:jc w:val="left"/>
      </w:pPr>
      <w:r>
        <w:rPr>
          <w:rFonts w:ascii="DM Sans" w:cs="DM Sans" w:eastAsia="DM Sans" w:hAnsi="DM Sans"/>
          <w:color w:val="1A202C"/>
          <w:sz w:val="22"/>
          <w:szCs w:val="22"/>
        </w:rPr>
        <w:t xml:space="preserve">I began by studying the relevant ISO standards (ISO 7816 for smart card communication, ISO 7064 for check digit systems, ISO 14443 for contactless interfaces) and the PC/SC specification for reader communication. Using this theoretical foundation, I systematically tested APDU command variations against real MyKad chips, mapping the card’s file system, identifying the application identifiers, and documenting the byte-level structure of each data file. Every finding was cross-verified against multiple physical cards to ensure consistency and correctness.</w:t>
      </w:r>
    </w:p>
    <w:p>
      <w:pPr>
        <w:pStyle w:val="Heading2"/>
      </w:pPr>
      <w:r>
        <w:t xml:space="preserve">Hardware Testing and Verification</w:t>
      </w:r>
    </w:p>
    <w:p>
      <w:pPr>
        <w:spacing w:after="180" w:before="0" w:line="276"/>
        <w:jc w:val="left"/>
      </w:pPr>
      <w:r>
        <w:rPr>
          <w:rFonts w:ascii="DM Sans" w:cs="DM Sans" w:eastAsia="DM Sans" w:hAnsi="DM Sans"/>
          <w:color w:val="1A202C"/>
          <w:sz w:val="22"/>
          <w:szCs w:val="22"/>
        </w:rPr>
        <w:t xml:space="preserve">Using multiple PC/SC-compliant smart card readers (PS/SC CCID ISO7816 USB Reader, ACR39U, ACS ACR38U), I performed systematic APDU command testing against real MyKad chips. This hardware testing revealed three critical bugs that were not documented anywhere:</w:t>
      </w:r>
    </w:p>
    <w:p>
      <w:pPr>
        <w:pStyle w:val="ListParagraph"/>
        <w:numPr>
          <w:ilvl w:val="0"/>
          <w:numId w:val="2"/>
        </w:numPr>
        <w:spacing w:after="80" w:line="276"/>
      </w:pPr>
      <w:r>
        <w:rPr>
          <w:rFonts w:ascii="DM Sans" w:cs="DM Sans" w:eastAsia="DM Sans" w:hAnsi="DM Sans"/>
          <w:color w:val="1A202C"/>
          <w:sz w:val="22"/>
          <w:szCs w:val="22"/>
        </w:rPr>
        <w:t xml:space="preserve">The 252-byte chunk crash: Older MyKad chips crash when the Read Info command requests 0xFC (252) bytes. The safe maximum is 0xF0 (240 bytes). This bug caused silent data corruption in several existing implementations.</w:t>
      </w:r>
    </w:p>
    <w:p>
      <w:pPr>
        <w:pStyle w:val="ListParagraph"/>
        <w:numPr>
          <w:ilvl w:val="0"/>
          <w:numId w:val="2"/>
        </w:numPr>
        <w:spacing w:after="80" w:line="276"/>
      </w:pPr>
      <w:r>
        <w:rPr>
          <w:rFonts w:ascii="DM Sans" w:cs="DM Sans" w:eastAsia="DM Sans" w:hAnsi="DM Sans"/>
          <w:color w:val="1A202C"/>
          <w:sz w:val="22"/>
          <w:szCs w:val="22"/>
        </w:rPr>
        <w:t xml:space="preserve">The Set Length payload format: Early code samples placed the file ID in the Set Length command payload. The correct format uses a constant 08 00 00 payload, with the file ID specified only in Select Info. Getting this wrong produces a 6A 80 (wrong data) error.</w:t>
      </w:r>
    </w:p>
    <w:p>
      <w:pPr>
        <w:pStyle w:val="ListParagraph"/>
        <w:numPr>
          <w:ilvl w:val="0"/>
          <w:numId w:val="2"/>
        </w:numPr>
        <w:spacing w:after="80" w:line="276"/>
      </w:pPr>
      <w:r>
        <w:rPr>
          <w:rFonts w:ascii="DM Sans" w:cs="DM Sans" w:eastAsia="DM Sans" w:hAnsi="DM Sans"/>
          <w:color w:val="1A202C"/>
          <w:sz w:val="22"/>
          <w:szCs w:val="22"/>
        </w:rPr>
        <w:t xml:space="preserve">The actual-bytes-received fix: When reading in chunks, the loop must decrement remaining bytes by the actual number of bytes received from the card, not by the requested chunk size. Some readers return fewer bytes than requested, and decrementing by the requested amount causes offset drift and data corruption.</w:t>
      </w:r>
    </w:p>
    <w:p>
      <w:pPr>
        <w:pStyle w:val="Heading2"/>
      </w:pPr>
      <w:r>
        <w:t xml:space="preserve">Checksum Algorithm Identification</w:t>
      </w:r>
    </w:p>
    <w:p>
      <w:pPr>
        <w:spacing w:after="180" w:before="0" w:line="276"/>
        <w:jc w:val="left"/>
      </w:pPr>
      <w:r>
        <w:rPr>
          <w:rFonts w:ascii="DM Sans" w:cs="DM Sans" w:eastAsia="DM Sans" w:hAnsi="DM Sans"/>
          <w:color w:val="1A202C"/>
          <w:sz w:val="22"/>
          <w:szCs w:val="22"/>
        </w:rPr>
        <w:t xml:space="preserve">Through systematic analysis of real IC numbers, I identified that the 12th digit follows the ISO 7064 Mod 11,2 check digit algorithm — the same mathematical scheme used in China’s 18-digit Resident Identity Card Number. I verified this hypothesis against a large corpus of real IC numbers, confirming a near-perfect match rate, and produced implementations in seven programming languages (JavaScript, Python, C#, PHP, Go, Java, and C).</w:t>
      </w:r>
    </w:p>
    <w:p>
      <w:pPr>
        <w:spacing w:after="180" w:before="0" w:line="276"/>
        <w:jc w:val="left"/>
      </w:pPr>
      <w:r>
        <w:rPr>
          <w:rFonts w:ascii="DM Sans" w:cs="DM Sans" w:eastAsia="DM Sans" w:hAnsi="DM Sans"/>
          <w:color w:val="1A202C"/>
          <w:sz w:val="22"/>
          <w:szCs w:val="22"/>
        </w:rPr>
        <w:t xml:space="preserve">A key insight from this research is that the 12th digit serves a dual purpose: it is both the ISO 7064 checksum digit AND the gender indicator (odd = male, even = female). This works because JPN’s assignment system iterates through sequence numbers until it finds one where the computed checksum matches the applicant’s gender parity. Approximately 9% of all possible sequences are impossible (those that would produce a check digit of 10, which cannot be represented as a single digit).</w:t>
      </w:r>
    </w:p>
    <w:p>
      <w:pPr>
        <w:pStyle w:val="Heading2"/>
      </w:pPr>
      <w:r>
        <w:t xml:space="preserve">Protocol Documentation</w:t>
      </w:r>
    </w:p>
    <w:p>
      <w:pPr>
        <w:spacing w:after="180" w:before="0" w:line="276"/>
        <w:jc w:val="left"/>
      </w:pPr>
      <w:r>
        <w:rPr>
          <w:rFonts w:ascii="DM Sans" w:cs="DM Sans" w:eastAsia="DM Sans" w:hAnsi="DM Sans"/>
          <w:color w:val="1A202C"/>
          <w:sz w:val="22"/>
          <w:szCs w:val="22"/>
        </w:rPr>
        <w:t xml:space="preserve">After establishing the correct APDU command sequences, file structures, and data encoding formats through testing, I documented the entire protocol from first principles. The documentation covers not just what the commands are, but why each byte is what it is — the RID (Registered Identifier) for IRIS Corporation, the ASCII encoding of application names, the little-endian byte ordering of offsets and lengths, the packed BCD date format, and every other implementation detail a developer needs.</w:t>
      </w:r>
    </w:p>
    <w:p>
      <w:pPr>
        <w:pBdr>
          <w:bottom w:val="single" w:color="2B6CB0" w:sz="3" w:space="8"/>
        </w:pBdr>
        <w:spacing w:after="300" w:before="300"/>
      </w:pPr>
    </w:p>
    <w:p>
      <w:pPr>
        <w:pStyle w:val="Heading1"/>
      </w:pPr>
      <w:r>
        <w:t xml:space="preserve">Deliverable 1: The Complete Technical Reference (v3.0)</w:t>
      </w:r>
    </w:p>
    <w:p>
      <w:pPr>
        <w:spacing w:after="180" w:before="0" w:line="276"/>
        <w:jc w:val="left"/>
      </w:pPr>
      <w:r>
        <w:rPr>
          <w:rFonts w:ascii="DM Sans" w:cs="DM Sans" w:eastAsia="DM Sans" w:hAnsi="DM Sans"/>
          <w:color w:val="1A202C"/>
          <w:sz w:val="22"/>
          <w:szCs w:val="22"/>
        </w:rPr>
        <w:t xml:space="preserve">The centrepiece of this research is a 23-chapter technical reference document that serves as the definitive developer guide to the MyKad system. It is available in two formats: a formatted Word document for human reading, and an LLM-optimised Markdown version designed to be pasted directly into any AI assistant for developer support.</w:t>
      </w:r>
    </w:p>
    <w:p>
      <w:pPr>
        <w:pStyle w:val="Heading2"/>
      </w:pPr>
      <w:r>
        <w:t xml:space="preserve">Document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4826"/>
      </w:tblGrid>
      <w:tr>
        <w:tc>
          <w:tcPr>
            <w:tcW w:type="dxa" w:w="1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Ch.</w:t>
            </w:r>
          </w:p>
        </w:tc>
        <w:tc>
          <w:tcPr>
            <w:tcW w:type="dxa" w:w="3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Title</w:t>
            </w:r>
          </w:p>
        </w:tc>
        <w:tc>
          <w:tcPr>
            <w:tcW w:type="dxa" w:w="482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Coverage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Overview</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Card types (MyKad/MyKid/MyPR/MyKAS/MyTentera), chip contents, dual-chip architecture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2</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Physical Specifications</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ID-1 dimensions, polycarbonate construction, 7 security features, printed information</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3</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IC Number Format</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12-digit structure (YYMMDD-PB-###G), century determination rule, display formatting</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4</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Place of Birth Codes</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Complete directory: 16 primary state codes, 38 legacy codes, 34 foreign country/region codes</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5</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Checksum Algorithm</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ISO 7064 Mod 11,2 deep dive with weight tables, step-by-step walkthrough, worked examples</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6</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Assignment Logic</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How JPN assigns IC numbers: sequence iteration, gender-parity matching, impossible sequences</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7</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Sample IC Numbers</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5 fictitious but checksum-valid worked examples covering male/female, multi-ethnic, foreign-born</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8</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Chip Architecture</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Dual-chip design, 3 contact applications (JPN/JPJ/IMM), AID byte breakdown, IRIS Corp RID</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9</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Hardware &amp; Troubleshooting</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Tested readers, OS setup (Windows/Linux/macOS), 10-entry troubleshooting matrix</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10</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APDU Commands</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5 command types with full hex sequences, status word table, 3 critical hardware fixes</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11</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File Structure</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6 JPN files with byte-level offset maps, field names, data sizes, header formats</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12</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Data Type Decoding</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ASCII strings, packed BCD dates/postcodes, multi-line names, JPEG extraction, gender byte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13</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Extractable Data Reference</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Complete field table: 22 data points with source file, type, and sample values</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14</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Python Implementation</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Full MyKadReader class with CLI, performance optimisation table, PyInstaller build</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15</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C Implementation</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WinSCard low-level code for Windows and Linux (PCSC-Lite)</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16</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Go Implementation</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Struct-based CardDetails model with repository interface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17</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Node.js Implementation</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OpenSC shell-out approach with stdout parsing</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18</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Checksum Validators</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Drop-in functions in 7 languages: JS, Python, C#, PHP, Go, Java, C</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19</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Server API</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Flask REST + WebSocket architecture, 15+ endpoints, SSE events, database schema</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20</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AI/OCR Integration</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GPT-4.1-nano vision-based card scanning for photo-based systems</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21</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Database Schema</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Generic SQL compatible with SQLite, PostgreSQL, and MySQL</w:t>
            </w:r>
          </w:p>
        </w:tc>
      </w:tr>
      <w:tr>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22</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Security &amp; PDPA</w:t>
            </w:r>
          </w:p>
        </w:tc>
        <w:tc>
          <w:tcPr>
            <w:tcW w:type="dxa" w:w="48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Read/write access model, data masking, encryption, memory management, compliance</w:t>
            </w:r>
          </w:p>
        </w:tc>
      </w:tr>
      <w:tr>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23</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Reference Resources</w:t>
            </w:r>
          </w:p>
        </w:tc>
        <w:tc>
          <w:tcPr>
            <w:tcW w:type="dxa" w:w="48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ISO standards references and related technical links</w:t>
            </w:r>
          </w:p>
        </w:tc>
      </w:tr>
    </w:tbl>
    <w:p>
      <w:pPr>
        <w:spacing w:after="0" w:before="100"/>
      </w:pPr>
    </w:p>
    <w:p>
      <w:pPr>
        <w:pStyle w:val="Heading2"/>
      </w:pPr>
      <w:r>
        <w:t xml:space="preserve">LLM-Optimised Format</w:t>
      </w:r>
    </w:p>
    <w:p>
      <w:pPr>
        <w:spacing w:after="180" w:before="0" w:line="276"/>
        <w:jc w:val="left"/>
      </w:pPr>
      <w:r>
        <w:rPr>
          <w:rFonts w:ascii="DM Sans" w:cs="DM Sans" w:eastAsia="DM Sans" w:hAnsi="DM Sans"/>
          <w:color w:val="1A202C"/>
          <w:sz w:val="22"/>
          <w:szCs w:val="22"/>
        </w:rPr>
        <w:t xml:space="preserve">The Markdown version of the reference was specifically designed for AI-assisted development. All tables use pipe format, all code blocks have language tags, and there is no binary content. A developer anywhere in the world can paste this document into ChatGPT, Claude, Gemini, or any other AI assistant and immediately get working code for MyKad integration in their language of choice. The document begins with explicit LLM instructions explaining its purpose and format.</w:t>
      </w:r>
    </w:p>
    <w:p>
      <w:pPr>
        <w:pBdr>
          <w:bottom w:val="single" w:color="2B6CB0" w:sz="3" w:space="8"/>
        </w:pBdr>
        <w:spacing w:after="300" w:before="300"/>
      </w:pPr>
    </w:p>
    <w:p>
      <w:pPr>
        <w:pStyle w:val="Heading1"/>
      </w:pPr>
      <w:r>
        <w:t xml:space="preserve">Deliverable 2: MyKad Reader Pro Server (v5.0)</w:t>
      </w:r>
    </w:p>
    <w:p>
      <w:pPr>
        <w:spacing w:after="180" w:before="0" w:line="276"/>
        <w:jc w:val="left"/>
      </w:pPr>
      <w:r>
        <w:rPr>
          <w:rFonts w:ascii="DM Sans" w:cs="DM Sans" w:eastAsia="DM Sans" w:hAnsi="DM Sans"/>
          <w:color w:val="1A202C"/>
          <w:sz w:val="22"/>
          <w:szCs w:val="22"/>
        </w:rPr>
        <w:t xml:space="preserve">The server is not a script or a prototype — it is a production-grade system that hotels, businesses, and government offices can deploy for real-world identity card reading. It runs as a Flask REST API with optional WebSocket support for multi-station deployments.</w:t>
      </w:r>
    </w:p>
    <w:p>
      <w:pPr>
        <w:pStyle w:val="Heading2"/>
      </w:pPr>
      <w:r>
        <w:t xml:space="preserve">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Component</w:t>
            </w:r>
          </w:p>
        </w:tc>
        <w:tc>
          <w:tcPr>
            <w:tcW w:type="dxa" w:w="662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Details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Modes</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Standalone (local USB reader) or Server mode (remote agents via WebSocket)</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Authentication</w:t>
            </w:r>
          </w:p>
        </w:tc>
        <w:tc>
          <w:tcPr>
            <w:tcW w:type="dxa" w:w="66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Session tokens via login, permanent API tokens for PMS integration, password hashing (SHA-256)</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Card Reading</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Progressive: personal data returned first (&lt; 0.5s), photo fetched asynchronously (2–4s additional)</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Real-time Events</w:t>
            </w:r>
          </w:p>
        </w:tc>
        <w:tc>
          <w:tcPr>
            <w:tcW w:type="dxa" w:w="66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Server-Sent Events (SSE) stream on /api/card_events for card insertion/removal/read notifications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Database</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SQLite with automatic schema migration, returning-guest detection, custom field support</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Export Formats</w:t>
            </w:r>
          </w:p>
        </w:tc>
        <w:tc>
          <w:tcPr>
            <w:tcW w:type="dxa" w:w="66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PDF (ReportLab), Excel (openpyxl), CSV, JSON, TSV, plain text — single record or bulk</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PMS Integration</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Guest lookup by IC number, visit history, demo scan mode with realistic fake data for testing</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WebSocket Agents</w:t>
            </w:r>
          </w:p>
        </w:tc>
        <w:tc>
          <w:tcPr>
            <w:tcW w:type="dxa" w:w="66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Named stations connect to central server, remote scan triggers, coordinated multi-reader deployments</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Configuration</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JSON-based config with company branding, custom fields, WhatsApp/Telegram country codes, reader preferences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Auto-scan</w:t>
            </w:r>
          </w:p>
        </w:tc>
        <w:tc>
          <w:tcPr>
            <w:tcW w:type="dxa" w:w="66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Event-driven (SCardGetStatusChange) with polling fallback, configurable interval, hotkey support</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API Documentation</w:t>
            </w:r>
          </w:p>
        </w:tc>
        <w:tc>
          <w:tcPr>
            <w:tcW w:type="dxa" w:w="66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Self-documenting /api/docs endpoint listing all routes with auth requirements</w:t>
            </w:r>
          </w:p>
        </w:tc>
      </w:tr>
      <w:tr>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Logging</w:t>
            </w:r>
          </w:p>
        </w:tc>
        <w:tc>
          <w:tcPr>
            <w:tcW w:type="dxa" w:w="66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File-based and in-memory log ring buffer with SSE streaming for live monitoring</w:t>
            </w:r>
          </w:p>
        </w:tc>
      </w:tr>
    </w:tbl>
    <w:p>
      <w:pPr>
        <w:spacing w:after="0" w:before="100"/>
      </w:pPr>
    </w:p>
    <w:p>
      <w:pPr>
        <w:pStyle w:val="Heading2"/>
      </w:pPr>
      <w:r>
        <w:t xml:space="preserve">API Surface</w:t>
      </w:r>
    </w:p>
    <w:p>
      <w:pPr>
        <w:spacing w:after="180" w:before="0" w:line="276"/>
        <w:jc w:val="left"/>
      </w:pPr>
      <w:r>
        <w:rPr>
          <w:rFonts w:ascii="DM Sans" w:cs="DM Sans" w:eastAsia="DM Sans" w:hAnsi="DM Sans"/>
          <w:color w:val="1A202C"/>
          <w:sz w:val="22"/>
          <w:szCs w:val="22"/>
        </w:rPr>
        <w:t xml:space="preserve">The server exposes 25+ REST endpoints covering authentication, card reading, record management, guest lookup, multi-station control, export, configuration, and monitoring. Key design decisions include progressive card reading (data first, photo async) for responsive UI, returning-guest detection that automatically links repeat visitors, and a demo scan mode that generates realistic fake card data for PMS integration testing without requiring physical hardware.</w:t>
      </w:r>
    </w:p>
    <w:p>
      <w:pPr>
        <w:pBdr>
          <w:bottom w:val="single" w:color="2B6CB0" w:sz="3" w:space="8"/>
        </w:pBdr>
        <w:spacing w:after="300" w:before="300"/>
      </w:pPr>
    </w:p>
    <w:p>
      <w:pPr>
        <w:pStyle w:val="Heading1"/>
      </w:pPr>
      <w:r>
        <w:t xml:space="preserve">Deliverable 3: IC Number Toolkit</w:t>
      </w:r>
    </w:p>
    <w:p>
      <w:pPr>
        <w:spacing w:after="180" w:before="0" w:line="276"/>
        <w:jc w:val="left"/>
      </w:pPr>
      <w:r>
        <w:rPr>
          <w:rFonts w:ascii="DM Sans" w:cs="DM Sans" w:eastAsia="DM Sans" w:hAnsi="DM Sans"/>
          <w:color w:val="1A202C"/>
          <w:sz w:val="22"/>
          <w:szCs w:val="22"/>
        </w:rPr>
        <w:t xml:space="preserve">The IC Number Toolkit is a self-contained 1,410-line HTML application that runs entirely offline in any web browser. It implements the complete IC number specification as an interactive tool for developers, testers, and system integrators.</w:t>
      </w:r>
    </w:p>
    <w:p>
      <w:pPr>
        <w:pStyle w:val="Heading2"/>
      </w:pPr>
      <w:r>
        <w:t xml:space="preserve">Capabilities</w:t>
      </w:r>
    </w:p>
    <w:p>
      <w:pPr>
        <w:pStyle w:val="ListParagraph"/>
        <w:numPr>
          <w:ilvl w:val="0"/>
          <w:numId w:val="2"/>
        </w:numPr>
        <w:spacing w:after="80" w:line="276"/>
      </w:pPr>
      <w:r>
        <w:rPr>
          <w:rFonts w:ascii="DM Sans" w:cs="DM Sans" w:eastAsia="DM Sans" w:hAnsi="DM Sans"/>
          <w:color w:val="1A202C"/>
          <w:sz w:val="22"/>
          <w:szCs w:val="22"/>
        </w:rPr>
        <w:t xml:space="preserve">Single IC validation with step-by-step checksum breakdown showing the ISO 7064 Mod 11,2 computation</w:t>
      </w:r>
    </w:p>
    <w:p>
      <w:pPr>
        <w:pStyle w:val="ListParagraph"/>
        <w:numPr>
          <w:ilvl w:val="0"/>
          <w:numId w:val="2"/>
        </w:numPr>
        <w:spacing w:after="80" w:line="276"/>
      </w:pPr>
      <w:r>
        <w:rPr>
          <w:rFonts w:ascii="DM Sans" w:cs="DM Sans" w:eastAsia="DM Sans" w:hAnsi="DM Sans"/>
          <w:color w:val="1A202C"/>
          <w:sz w:val="22"/>
          <w:szCs w:val="22"/>
        </w:rPr>
        <w:t xml:space="preserve">IC generation with control over date of birth, place of birth code, gender, and sequence range</w:t>
      </w:r>
    </w:p>
    <w:p>
      <w:pPr>
        <w:pStyle w:val="ListParagraph"/>
        <w:numPr>
          <w:ilvl w:val="0"/>
          <w:numId w:val="2"/>
        </w:numPr>
        <w:spacing w:after="80" w:line="276"/>
      </w:pPr>
      <w:r>
        <w:rPr>
          <w:rFonts w:ascii="DM Sans" w:cs="DM Sans" w:eastAsia="DM Sans" w:hAnsi="DM Sans"/>
          <w:color w:val="1A202C"/>
          <w:sz w:val="22"/>
          <w:szCs w:val="22"/>
        </w:rPr>
        <w:t xml:space="preserve">Batch generation producing multiple valid IC numbers for testing and database seeding</w:t>
      </w:r>
    </w:p>
    <w:p>
      <w:pPr>
        <w:pStyle w:val="ListParagraph"/>
        <w:numPr>
          <w:ilvl w:val="0"/>
          <w:numId w:val="2"/>
        </w:numPr>
        <w:spacing w:after="80" w:line="276"/>
      </w:pPr>
      <w:r>
        <w:rPr>
          <w:rFonts w:ascii="DM Sans" w:cs="DM Sans" w:eastAsia="DM Sans" w:hAnsi="DM Sans"/>
          <w:color w:val="1A202C"/>
          <w:sz w:val="22"/>
          <w:szCs w:val="22"/>
        </w:rPr>
        <w:t xml:space="preserve">Century disambiguation displaying the sequence-first-digit rule for determining 1900s vs 2000s</w:t>
      </w:r>
    </w:p>
    <w:p>
      <w:pPr>
        <w:pStyle w:val="ListParagraph"/>
        <w:numPr>
          <w:ilvl w:val="0"/>
          <w:numId w:val="2"/>
        </w:numPr>
        <w:spacing w:after="80" w:line="276"/>
      </w:pPr>
      <w:r>
        <w:rPr>
          <w:rFonts w:ascii="DM Sans" w:cs="DM Sans" w:eastAsia="DM Sans" w:hAnsi="DM Sans"/>
          <w:color w:val="1A202C"/>
          <w:sz w:val="22"/>
          <w:szCs w:val="22"/>
        </w:rPr>
        <w:t xml:space="preserve">Complete PB code reference covering all 16 primary state codes, 38 legacy codes, and 34 foreign codes</w:t>
      </w:r>
    </w:p>
    <w:p>
      <w:pPr>
        <w:pStyle w:val="ListParagraph"/>
        <w:numPr>
          <w:ilvl w:val="0"/>
          <w:numId w:val="2"/>
        </w:numPr>
        <w:spacing w:after="80" w:line="276"/>
      </w:pPr>
      <w:r>
        <w:rPr>
          <w:rFonts w:ascii="DM Sans" w:cs="DM Sans" w:eastAsia="DM Sans" w:hAnsi="DM Sans"/>
          <w:color w:val="1A202C"/>
          <w:sz w:val="22"/>
          <w:szCs w:val="22"/>
        </w:rPr>
        <w:t xml:space="preserve">Gender-parity assignment logic demonstration showing why certain sequences are skipped</w:t>
      </w:r>
    </w:p>
    <w:p>
      <w:pPr>
        <w:pStyle w:val="ListParagraph"/>
        <w:numPr>
          <w:ilvl w:val="0"/>
          <w:numId w:val="2"/>
        </w:numPr>
        <w:spacing w:after="80" w:line="276"/>
      </w:pPr>
      <w:r>
        <w:rPr>
          <w:rFonts w:ascii="DM Sans" w:cs="DM Sans" w:eastAsia="DM Sans" w:hAnsi="DM Sans"/>
          <w:color w:val="1A202C"/>
          <w:sz w:val="22"/>
          <w:szCs w:val="22"/>
        </w:rPr>
        <w:t xml:space="preserve">Full bilingual interface in English and Bahasa Malaysia</w:t>
      </w:r>
    </w:p>
    <w:p>
      <w:pPr>
        <w:pStyle w:val="ListParagraph"/>
        <w:numPr>
          <w:ilvl w:val="0"/>
          <w:numId w:val="2"/>
        </w:numPr>
        <w:spacing w:after="80" w:line="276"/>
      </w:pPr>
      <w:r>
        <w:rPr>
          <w:rFonts w:ascii="DM Sans" w:cs="DM Sans" w:eastAsia="DM Sans" w:hAnsi="DM Sans"/>
          <w:color w:val="1A202C"/>
          <w:sz w:val="22"/>
          <w:szCs w:val="22"/>
        </w:rPr>
        <w:t xml:space="preserve">Dark/light theme support with persistent preferences</w:t>
      </w:r>
    </w:p>
    <w:p>
      <w:pPr>
        <w:spacing w:after="180" w:before="0" w:line="276"/>
        <w:jc w:val="left"/>
      </w:pPr>
      <w:r>
        <w:rPr>
          <w:rFonts w:ascii="DM Sans" w:cs="DM Sans" w:eastAsia="DM Sans" w:hAnsi="DM Sans"/>
          <w:color w:val="1A202C"/>
          <w:sz w:val="22"/>
          <w:szCs w:val="22"/>
        </w:rPr>
        <w:t xml:space="preserve">This tool serves as developer infrastructure: it allows anyone building a system that handles IC numbers to generate valid test data, verify their validation logic, and understand the underlying mathematics without needing a physical card or reader.</w:t>
      </w:r>
    </w:p>
    <w:p>
      <w:pPr>
        <w:pBdr>
          <w:bottom w:val="single" w:color="2B6CB0" w:sz="3" w:space="8"/>
        </w:pBdr>
        <w:spacing w:after="300" w:before="300"/>
      </w:pPr>
    </w:p>
    <w:p>
      <w:pPr>
        <w:pStyle w:val="Heading1"/>
      </w:pPr>
      <w:r>
        <w:t xml:space="preserve">Deliverable 4: Self-Validating Identifier Specification</w:t>
      </w:r>
    </w:p>
    <w:p>
      <w:pPr>
        <w:spacing w:after="180" w:before="0" w:line="276"/>
        <w:jc w:val="left"/>
      </w:pPr>
      <w:r>
        <w:rPr>
          <w:rFonts w:ascii="DM Sans" w:cs="DM Sans" w:eastAsia="DM Sans" w:hAnsi="DM Sans"/>
          <w:color w:val="1A202C"/>
          <w:sz w:val="22"/>
          <w:szCs w:val="22"/>
        </w:rPr>
        <w:t xml:space="preserve">Recognising that the mathematical framework underlying the MyKad IC number system has broader applicability, I produced a country-agnostic specification document that describes the identifier system in abstract, mathematical terms. This document strips away all Malaysia-specific implementation details (state codes, Malay terminology, JPN references) and presents:</w:t>
      </w:r>
    </w:p>
    <w:p>
      <w:pPr>
        <w:pStyle w:val="ListParagraph"/>
        <w:numPr>
          <w:ilvl w:val="0"/>
          <w:numId w:val="2"/>
        </w:numPr>
        <w:spacing w:after="80" w:line="276"/>
      </w:pPr>
      <w:r>
        <w:rPr>
          <w:rFonts w:ascii="DM Sans" w:cs="DM Sans" w:eastAsia="DM Sans" w:hAnsi="DM Sans"/>
          <w:color w:val="1A202C"/>
          <w:sz w:val="22"/>
          <w:szCs w:val="22"/>
        </w:rPr>
        <w:t xml:space="preserve">The general structure of a self-validating numeric identifier with embedded metadata</w:t>
      </w:r>
    </w:p>
    <w:p>
      <w:pPr>
        <w:pStyle w:val="ListParagraph"/>
        <w:numPr>
          <w:ilvl w:val="0"/>
          <w:numId w:val="2"/>
        </w:numPr>
        <w:spacing w:after="80" w:line="276"/>
      </w:pPr>
      <w:r>
        <w:rPr>
          <w:rFonts w:ascii="DM Sans" w:cs="DM Sans" w:eastAsia="DM Sans" w:hAnsi="DM Sans"/>
          <w:color w:val="1A202C"/>
          <w:sz w:val="22"/>
          <w:szCs w:val="22"/>
        </w:rPr>
        <w:t xml:space="preserve">The ISO 7064 Mod 11,2 algorithm as a formal checksum specification</w:t>
      </w:r>
    </w:p>
    <w:p>
      <w:pPr>
        <w:pStyle w:val="ListParagraph"/>
        <w:numPr>
          <w:ilvl w:val="0"/>
          <w:numId w:val="2"/>
        </w:numPr>
        <w:spacing w:after="80" w:line="276"/>
      </w:pPr>
      <w:r>
        <w:rPr>
          <w:rFonts w:ascii="DM Sans" w:cs="DM Sans" w:eastAsia="DM Sans" w:hAnsi="DM Sans"/>
          <w:color w:val="1A202C"/>
          <w:sz w:val="22"/>
          <w:szCs w:val="22"/>
        </w:rPr>
        <w:t xml:space="preserve">The dual-purpose final digit concept (simultaneous checksum and attribute encoding)</w:t>
      </w:r>
    </w:p>
    <w:p>
      <w:pPr>
        <w:pStyle w:val="ListParagraph"/>
        <w:numPr>
          <w:ilvl w:val="0"/>
          <w:numId w:val="2"/>
        </w:numPr>
        <w:spacing w:after="80" w:line="276"/>
      </w:pPr>
      <w:r>
        <w:rPr>
          <w:rFonts w:ascii="DM Sans" w:cs="DM Sans" w:eastAsia="DM Sans" w:hAnsi="DM Sans"/>
          <w:color w:val="1A202C"/>
          <w:sz w:val="22"/>
          <w:szCs w:val="22"/>
        </w:rPr>
        <w:t xml:space="preserve">The sequence iteration algorithm for constrained assignment</w:t>
      </w:r>
    </w:p>
    <w:p>
      <w:pPr>
        <w:pStyle w:val="ListParagraph"/>
        <w:numPr>
          <w:ilvl w:val="0"/>
          <w:numId w:val="2"/>
        </w:numPr>
        <w:spacing w:after="80" w:line="276"/>
      </w:pPr>
      <w:r>
        <w:rPr>
          <w:rFonts w:ascii="DM Sans" w:cs="DM Sans" w:eastAsia="DM Sans" w:hAnsi="DM Sans"/>
          <w:color w:val="1A202C"/>
          <w:sz w:val="22"/>
          <w:szCs w:val="22"/>
        </w:rPr>
        <w:t xml:space="preserve">Mathematical analysis of the identifier space (impossible sequences, gender distribution, collision properties)</w:t>
      </w:r>
    </w:p>
    <w:p>
      <w:pPr>
        <w:spacing w:after="180" w:before="0" w:line="276"/>
        <w:jc w:val="left"/>
      </w:pPr>
      <w:r>
        <w:rPr>
          <w:rFonts w:ascii="DM Sans" w:cs="DM Sans" w:eastAsia="DM Sans" w:hAnsi="DM Sans"/>
          <w:color w:val="1A202C"/>
          <w:sz w:val="22"/>
          <w:szCs w:val="22"/>
        </w:rPr>
        <w:t xml:space="preserve">This specification is the kind of document that belongs in a textbook or standards body publication. It demonstrates that the IC number system, while specific to Malaysia in its implementation, embodies a mathematically elegant approach to self-validating identifiers that could be adopted by any country or system requiring similar functionality.</w:t>
      </w:r>
    </w:p>
    <w:p>
      <w:pPr>
        <w:pBdr>
          <w:bottom w:val="single" w:color="2B6CB0" w:sz="3" w:space="8"/>
        </w:pBdr>
        <w:spacing w:after="300" w:before="300"/>
      </w:pPr>
    </w:p>
    <w:p>
      <w:pPr>
        <w:pStyle w:val="Heading1"/>
      </w:pPr>
      <w:r>
        <w:t xml:space="preserve">Key Technical Discoveries</w:t>
      </w:r>
    </w:p>
    <w:p>
      <w:pPr>
        <w:spacing w:after="180" w:before="0" w:line="276"/>
        <w:jc w:val="left"/>
      </w:pPr>
      <w:r>
        <w:rPr>
          <w:rFonts w:ascii="DM Sans" w:cs="DM Sans" w:eastAsia="DM Sans" w:hAnsi="DM Sans"/>
          <w:color w:val="1A202C"/>
          <w:sz w:val="22"/>
          <w:szCs w:val="22"/>
        </w:rPr>
        <w:t xml:space="preserve">Beyond documenting what was already partially known, this research produced several original findings:</w:t>
      </w:r>
    </w:p>
    <w:p>
      <w:pPr>
        <w:pStyle w:val="Heading2"/>
      </w:pPr>
      <w:r>
        <w:t xml:space="preserve">The Three Hardware Bugs</w:t>
      </w:r>
    </w:p>
    <w:p>
      <w:pPr>
        <w:spacing w:after="180" w:before="0" w:line="276"/>
        <w:jc w:val="left"/>
      </w:pPr>
      <w:r>
        <w:rPr>
          <w:rFonts w:ascii="DM Sans" w:cs="DM Sans" w:eastAsia="DM Sans" w:hAnsi="DM Sans"/>
          <w:color w:val="1A202C"/>
          <w:sz w:val="22"/>
          <w:szCs w:val="22"/>
        </w:rPr>
        <w:t xml:space="preserve">The 252-byte chunk crash, the Set Length payload format error, and the actual-bytes-received offset drift bug were not documented in any existing source. These bugs caused real-world failures in deployed systems and were only discoverable through systematic hardware testing. The technical reference documents all three with explanations, correct implementations, and the status words that indicate each failure mode.</w:t>
      </w:r>
    </w:p>
    <w:p>
      <w:pPr>
        <w:pStyle w:val="Heading2"/>
      </w:pPr>
      <w:r>
        <w:t xml:space="preserve">The Dual-Purpose 12th Digit</w:t>
      </w:r>
    </w:p>
    <w:p>
      <w:pPr>
        <w:spacing w:after="180" w:before="0" w:line="276"/>
        <w:jc w:val="left"/>
      </w:pPr>
      <w:r>
        <w:rPr>
          <w:rFonts w:ascii="DM Sans" w:cs="DM Sans" w:eastAsia="DM Sans" w:hAnsi="DM Sans"/>
          <w:color w:val="1A202C"/>
          <w:sz w:val="22"/>
          <w:szCs w:val="22"/>
        </w:rPr>
        <w:t xml:space="preserve">Through analysis of the checksum algorithm and gender encoding, I identified that the 12th digit serves a dual purpose: it is simultaneously the ISO 7064 checksum AND the gender indicator. The mechanism by which they interact — JPN’s sequence iteration algorithm that skips sequences until both conditions are satisfied — had not been formally described anywhere. Chapter 6 of the technical reference provides the first complete description of this assignment logic, including the mathematical proof that approximately 9% of sequences are impossible (those producing a check digit of 10).</w:t>
      </w:r>
    </w:p>
    <w:p>
      <w:pPr>
        <w:pStyle w:val="Heading2"/>
      </w:pPr>
      <w:r>
        <w:t xml:space="preserve">The Century Determination Rule</w:t>
      </w:r>
    </w:p>
    <w:p>
      <w:pPr>
        <w:spacing w:after="180" w:before="0" w:line="276"/>
        <w:jc w:val="left"/>
      </w:pPr>
      <w:r>
        <w:rPr>
          <w:rFonts w:ascii="DM Sans" w:cs="DM Sans" w:eastAsia="DM Sans" w:hAnsi="DM Sans"/>
          <w:color w:val="1A202C"/>
          <w:sz w:val="22"/>
          <w:szCs w:val="22"/>
        </w:rPr>
        <w:t xml:space="preserve">The rule for disambiguating 1900s vs 2000s birth years (first digit of the sequence number: 0–4 = 2000s, 5–9 = 1900s) was undocumented by JPN. Through testing against real cards spanning both centuries, I confirmed the rule and documented it as a formal specification with edge-case handling.</w:t>
      </w:r>
    </w:p>
    <w:p>
      <w:pPr>
        <w:pStyle w:val="Heading2"/>
      </w:pPr>
      <w:r>
        <w:t xml:space="preserve">Complete File Structure Maps</w:t>
      </w:r>
    </w:p>
    <w:p>
      <w:pPr>
        <w:spacing w:after="180" w:before="0" w:line="276"/>
        <w:jc w:val="left"/>
      </w:pPr>
      <w:r>
        <w:rPr>
          <w:rFonts w:ascii="DM Sans" w:cs="DM Sans" w:eastAsia="DM Sans" w:hAnsi="DM Sans"/>
          <w:color w:val="1A202C"/>
          <w:sz w:val="22"/>
          <w:szCs w:val="22"/>
        </w:rPr>
        <w:t xml:space="preserve">The byte-level offset maps for all six JPN files (Personal Identity, Photo, Fingerprints, Address, SOCSO, Locality) with their exact field boundaries, SDK names, data types, and encoding formats represent original documentation work. The complete maps for all six files, including the three-byte file headers and the distinction between read offsets and buffer offsets, were produced through systematic testing and had not been published prior to this research.</w:t>
      </w:r>
    </w:p>
    <w:p>
      <w:pPr>
        <w:pBdr>
          <w:bottom w:val="single" w:color="2B6CB0" w:sz="3" w:space="8"/>
        </w:pBdr>
        <w:spacing w:after="300" w:before="300"/>
      </w:pPr>
    </w:p>
    <w:p>
      <w:pPr>
        <w:pStyle w:val="Heading1"/>
      </w:pPr>
      <w:r>
        <w:t xml:space="preserve">Impact and Significance</w:t>
      </w:r>
    </w:p>
    <w:p>
      <w:pPr>
        <w:pStyle w:val="Heading2"/>
      </w:pPr>
      <w:r>
        <w:t xml:space="preserve">For the Malaysian Developer Community</w:t>
      </w:r>
    </w:p>
    <w:p>
      <w:pPr>
        <w:spacing w:after="180" w:before="0" w:line="276"/>
        <w:jc w:val="left"/>
      </w:pPr>
      <w:r>
        <w:rPr>
          <w:rFonts w:ascii="DM Sans" w:cs="DM Sans" w:eastAsia="DM Sans" w:hAnsi="DM Sans"/>
          <w:color w:val="1A202C"/>
          <w:sz w:val="22"/>
          <w:szCs w:val="22"/>
        </w:rPr>
        <w:t xml:space="preserve">Before this project, integrating MyKad reading into an application required days or weeks of reverse engineering, trial and error, and debugging undocumented hardware issues. With this documentation and tooling, a developer can have a working MyKad integration in an afternoon. The LLM-optimised format means they can paste the reference into an AI assistant and get working code generated for their specific language and framework.</w:t>
      </w:r>
    </w:p>
    <w:p>
      <w:pPr>
        <w:pStyle w:val="Heading2"/>
      </w:pPr>
      <w:r>
        <w:t xml:space="preserve">For the Hospitality and Business Sector</w:t>
      </w:r>
    </w:p>
    <w:p>
      <w:pPr>
        <w:spacing w:after="180" w:before="0" w:line="276"/>
        <w:jc w:val="left"/>
      </w:pPr>
      <w:r>
        <w:rPr>
          <w:rFonts w:ascii="DM Sans" w:cs="DM Sans" w:eastAsia="DM Sans" w:hAnsi="DM Sans"/>
          <w:color w:val="1A202C"/>
          <w:sz w:val="22"/>
          <w:szCs w:val="22"/>
        </w:rPr>
        <w:t xml:space="preserve">The server application provides a ready-to-deploy solution for hotels, serviced apartments, and businesses that need to read MyKad cards for guest registration. The progressive reading approach (data first, photo async), returning-guest detection, and PMS integration support via permanent API tokens address real operational needs that existing commercial solutions often handle poorly.</w:t>
      </w:r>
    </w:p>
    <w:p>
      <w:pPr>
        <w:pStyle w:val="Heading2"/>
      </w:pPr>
      <w:r>
        <w:t xml:space="preserve">For the International Developer Community</w:t>
      </w:r>
    </w:p>
    <w:p>
      <w:pPr>
        <w:spacing w:after="180" w:before="0" w:line="276"/>
        <w:jc w:val="left"/>
      </w:pPr>
      <w:r>
        <w:rPr>
          <w:rFonts w:ascii="DM Sans" w:cs="DM Sans" w:eastAsia="DM Sans" w:hAnsi="DM Sans"/>
          <w:color w:val="1A202C"/>
          <w:sz w:val="22"/>
          <w:szCs w:val="22"/>
        </w:rPr>
        <w:t xml:space="preserve">The abstracted specification and the LLM-optimised documentation format make this work accessible to developers worldwide. The cross-language checksum validators (7 languages), the multi-language implementations (Python, C, Go, Node.js), and the country-agnostic mathematical specification ensure that the knowledge captured here can be applied and adapted beyond Malaysia.</w:t>
      </w:r>
    </w:p>
    <w:p>
      <w:pPr>
        <w:pStyle w:val="Heading2"/>
      </w:pPr>
      <w:r>
        <w:t xml:space="preserve">For Open-Source Infrastructure</w:t>
      </w:r>
    </w:p>
    <w:p>
      <w:pPr>
        <w:spacing w:after="180" w:before="0" w:line="276"/>
        <w:jc w:val="left"/>
      </w:pPr>
      <w:r>
        <w:rPr>
          <w:rFonts w:ascii="DM Sans" w:cs="DM Sans" w:eastAsia="DM Sans" w:hAnsi="DM Sans"/>
          <w:color w:val="1A202C"/>
          <w:sz w:val="22"/>
          <w:szCs w:val="22"/>
        </w:rPr>
        <w:t xml:space="preserve">This project creates the open-source MyKad developer ecosystem that JPN never provided. The combination of specification (how the number works), tooling (how to generate and validate them), reader software (how to read the physical chip), and documentation (how to build your own in any language) forms a complete reference implementation — a full stack of knowledge that did not exist in one place before this work.</w:t>
      </w:r>
    </w:p>
    <w:p>
      <w:pPr>
        <w:pBdr>
          <w:bottom w:val="single" w:color="2B6CB0" w:sz="3" w:space="8"/>
        </w:pBdr>
        <w:spacing w:after="300" w:before="300"/>
      </w:pPr>
    </w:p>
    <w:p>
      <w:pPr>
        <w:pStyle w:val="Heading1"/>
      </w:pPr>
      <w:r>
        <w:t xml:space="preserve">Technical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Metric</w:t>
            </w:r>
          </w:p>
        </w:tc>
        <w:tc>
          <w:tcPr>
            <w:tcW w:type="dxa" w:w="502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Value</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Total lines of code (all deliverables)</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4,210+</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Technical reference chapters</w:t>
            </w:r>
          </w:p>
        </w:tc>
        <w:tc>
          <w:tcPr>
            <w:tcW w:type="dxa" w:w="5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23</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Technical reference lines (Markdown)</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1,430+</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Server API endpoints</w:t>
            </w:r>
          </w:p>
        </w:tc>
        <w:tc>
          <w:tcPr>
            <w:tcW w:type="dxa" w:w="5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25+</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Server lines (Python)</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1,370</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IC Toolkit lines (HTML/CSS/JS)</w:t>
            </w:r>
          </w:p>
        </w:tc>
        <w:tc>
          <w:tcPr>
            <w:tcW w:type="dxa" w:w="5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1,410</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Programming languages covered</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Python, C, Go, Node.js, JavaScript, C#, PHP, Java</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Checksum validator implementations</w:t>
            </w:r>
          </w:p>
        </w:tc>
        <w:tc>
          <w:tcPr>
            <w:tcW w:type="dxa" w:w="5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7 languages</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Smart card readers tested</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4 models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JPN files fully documented</w:t>
            </w:r>
          </w:p>
        </w:tc>
        <w:tc>
          <w:tcPr>
            <w:tcW w:type="dxa" w:w="5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6 of 6</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Place of birth codes documented</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88 codes (16 primary + 38 legacy + 34 foreign)</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Export formats supported (server)</w:t>
            </w:r>
          </w:p>
        </w:tc>
        <w:tc>
          <w:tcPr>
            <w:tcW w:type="dxa" w:w="5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PDF, Excel, CSV, JSON, TSV, plain text</w:t>
            </w:r>
          </w:p>
        </w:tc>
      </w:tr>
      <w:tr>
        <w:tc>
          <w:tcPr>
            <w:tcW w:type="dxa" w:w="4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Interface languages (IC toolkit)</w:t>
            </w:r>
          </w:p>
        </w:tc>
        <w:tc>
          <w:tcPr>
            <w:tcW w:type="dxa" w:w="5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English, Bahasa Malaysia</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ISO standards referenced</w:t>
            </w:r>
          </w:p>
        </w:tc>
        <w:tc>
          <w:tcPr>
            <w:tcW w:type="dxa" w:w="5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ISO 7816-1/2/3/4, ISO 7064, ISO 14443-3A, ISO 7810</w:t>
            </w:r>
          </w:p>
        </w:tc>
      </w:tr>
    </w:tbl>
    <w:p>
      <w:pPr>
        <w:pBdr>
          <w:bottom w:val="single" w:color="2B6CB0" w:sz="3" w:space="8"/>
        </w:pBdr>
        <w:spacing w:after="300" w:before="300"/>
      </w:pPr>
    </w:p>
    <w:p>
      <w:pPr>
        <w:pStyle w:val="Heading1"/>
      </w:pPr>
      <w:r>
        <w:t xml:space="preserve">Project File Manifest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c>
          <w:tcPr>
            <w:tcW w:type="dxa" w:w="38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File</w:t>
            </w:r>
          </w:p>
        </w:tc>
        <w:tc>
          <w:tcPr>
            <w:tcW w:type="dxa" w:w="12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Lines</w:t>
            </w:r>
          </w:p>
        </w:tc>
        <w:tc>
          <w:tcPr>
            <w:tcW w:type="dxa" w:w="4026"/>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vAlign w:val="center"/>
          </w:tcPr>
          <w:p>
            <w:r>
              <w:rPr>
                <w:rFonts w:ascii="DM Sans" w:cs="DM Sans" w:eastAsia="DM Sans" w:hAnsi="DM Sans"/>
                <w:b/>
                <w:bCs/>
                <w:color w:val="FFFFFF"/>
                <w:sz w:val="20"/>
                <w:szCs w:val="20"/>
              </w:rPr>
              <w:t xml:space="preserve">Purpose</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MyKad_Complete_Technical_Reference_v3.docx</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Formatted human-readable reference (Word)</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MyKad_Complete_Technical_Reference_v3_LLM.md</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1,430</w:t>
            </w:r>
          </w:p>
        </w:tc>
        <w:tc>
          <w:tcPr>
            <w:tcW w:type="dxa" w:w="4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LLM-optimised reference (paste into AI tools)</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server.py</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1,370</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Production MyKad Reader Pro server (Flask API)</w:t>
            </w:r>
          </w:p>
        </w:tc>
      </w:tr>
      <w:tr>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b/>
                <w:bCs/>
                <w:color w:val="1A202C"/>
                <w:sz w:val="20"/>
                <w:szCs w:val="20"/>
              </w:rPr>
              <w:t xml:space="preserve">12digits_identifier_system.html</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1,410</w:t>
            </w:r>
          </w:p>
        </w:tc>
        <w:tc>
          <w:tcPr>
            <w:tcW w:type="dxa" w:w="4026"/>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DM Sans" w:cs="DM Sans" w:eastAsia="DM Sans" w:hAnsi="DM Sans"/>
                <w:color w:val="1A202C"/>
                <w:sz w:val="20"/>
                <w:szCs w:val="20"/>
              </w:rPr>
              <w:t xml:space="preserve">Offline IC number toolkit (generator/validator)</w:t>
            </w:r>
          </w:p>
        </w:tc>
      </w:tr>
      <w:tr>
        <w:tc>
          <w:tcPr>
            <w:tcW w:type="dxa" w:w="3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b/>
                <w:bCs/>
                <w:color w:val="1A202C"/>
                <w:sz w:val="20"/>
                <w:szCs w:val="20"/>
              </w:rPr>
              <w:t xml:space="preserve">Self-Validating Identifier Specification</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w:t>
            </w:r>
          </w:p>
        </w:tc>
        <w:tc>
          <w:tcPr>
            <w:tcW w:type="dxa" w:w="4026"/>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DM Sans" w:cs="DM Sans" w:eastAsia="DM Sans" w:hAnsi="DM Sans"/>
                <w:color w:val="1A202C"/>
                <w:sz w:val="20"/>
                <w:szCs w:val="20"/>
              </w:rPr>
              <w:t xml:space="preserve">Country-agnostic mathematical specification</w:t>
            </w:r>
          </w:p>
        </w:tc>
      </w:tr>
    </w:tbl>
    <w:p>
      <w:pPr>
        <w:pBdr>
          <w:bottom w:val="single" w:color="2B6CB0" w:sz="3" w:space="8"/>
        </w:pBdr>
        <w:spacing w:after="300" w:before="300"/>
      </w:pPr>
    </w:p>
    <w:p>
      <w:pPr>
        <w:spacing w:after="0" w:before="200"/>
      </w:pPr>
    </w:p>
    <w:p>
      <w:pPr>
        <w:pBdr>
          <w:top w:val="single" w:color="2B6CB0" w:sz="3" w:space="12"/>
          <w:bottom w:val="single" w:color="2B6CB0" w:sz="3" w:space="12"/>
        </w:pBdr>
        <w:spacing w:after="100" w:before="200"/>
        <w:jc w:val="center"/>
      </w:pPr>
      <w:r>
        <w:rPr>
          <w:rFonts w:ascii="DM Sans" w:cs="DM Sans" w:eastAsia="DM Sans" w:hAnsi="DM Sans"/>
          <w:i/>
          <w:iCs/>
          <w:color w:val="4A5568"/>
          <w:sz w:val="20"/>
          <w:szCs w:val="20"/>
        </w:rPr>
        <w:t xml:space="preserve">All research, development, and documentation in this portfolio is original independent work by the author.</w:t>
      </w:r>
    </w:p>
    <w:p>
      <w:pPr>
        <w:spacing w:after="0" w:before="100"/>
      </w:pPr>
    </w:p>
    <w:p>
      <w:pPr>
        <w:spacing w:after="180" w:before="0" w:line="276"/>
        <w:jc w:val="left"/>
      </w:pPr>
      <w:r>
        <w:rPr>
          <w:rFonts w:ascii="DM Sans" w:cs="DM Sans" w:eastAsia="DM Sans" w:hAnsi="DM Sans"/>
          <w:b/>
          <w:bCs/>
          <w:color w:val="1A202C"/>
          <w:sz w:val="22"/>
          <w:szCs w:val="22"/>
        </w:rPr>
        <w:t xml:space="preserve">Author: </w:t>
      </w:r>
      <w:r>
        <w:rPr>
          <w:rFonts w:ascii="DM Sans" w:cs="DM Sans" w:eastAsia="DM Sans" w:hAnsi="DM Sans"/>
          <w:color w:val="1A202C"/>
          <w:sz w:val="22"/>
          <w:szCs w:val="22"/>
        </w:rPr>
        <w:t xml:space="preserve">Kesh (deadboy18)</w:t>
      </w:r>
    </w:p>
    <w:p>
      <w:pPr>
        <w:spacing w:after="180" w:before="0" w:line="276"/>
        <w:jc w:val="left"/>
      </w:pPr>
      <w:r>
        <w:rPr>
          <w:rFonts w:ascii="DM Sans" w:cs="DM Sans" w:eastAsia="DM Sans" w:hAnsi="DM Sans"/>
          <w:b/>
          <w:bCs/>
          <w:color w:val="1A202C"/>
          <w:sz w:val="22"/>
          <w:szCs w:val="22"/>
        </w:rPr>
        <w:t xml:space="preserve">Date: </w:t>
      </w:r>
      <w:r>
        <w:rPr>
          <w:rFonts w:ascii="DM Sans" w:cs="DM Sans" w:eastAsia="DM Sans" w:hAnsi="DM Sans"/>
          <w:color w:val="1A202C"/>
          <w:sz w:val="22"/>
          <w:szCs w:val="22"/>
        </w:rPr>
        <w:t xml:space="preserve">11 April 2026</w:t>
      </w:r>
    </w:p>
    <w:p>
      <w:pPr>
        <w:spacing w:after="180" w:before="0" w:line="276"/>
        <w:jc w:val="left"/>
      </w:pPr>
      <w:r>
        <w:rPr>
          <w:rFonts w:ascii="DM Sans" w:cs="DM Sans" w:eastAsia="DM Sans" w:hAnsi="DM Sans"/>
          <w:b/>
          <w:bCs/>
          <w:color w:val="1A202C"/>
          <w:sz w:val="22"/>
          <w:szCs w:val="22"/>
        </w:rPr>
        <w:t xml:space="preserve">Version: </w:t>
      </w:r>
      <w:r>
        <w:rPr>
          <w:rFonts w:ascii="DM Sans" w:cs="DM Sans" w:eastAsia="DM Sans" w:hAnsi="DM Sans"/>
          <w:color w:val="1A202C"/>
          <w:sz w:val="22"/>
          <w:szCs w:val="22"/>
        </w:rPr>
        <w:t xml:space="preserve">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jc w:val="center"/>
    </w:pPr>
    <w:r>
      <w:rPr>
        <w:rFonts w:ascii="DM Sans" w:cs="DM Sans" w:eastAsia="DM Sans" w:hAnsi="DM Sans"/>
        <w:color w:val="4A5568"/>
        <w:sz w:val="16"/>
        <w:szCs w:val="16"/>
      </w:rPr>
      <w:t xml:space="preserve">Kesh (deadboy18) • MyKad Developer Ecosystem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2" w:space="4"/>
      </w:pBdr>
    </w:pPr>
    <w:r>
      <w:rPr>
        <w:rFonts w:ascii="DM Sans" w:cs="DM Sans" w:eastAsia="DM Sans" w:hAnsi="DM Sans"/>
        <w:color w:val="4A5568"/>
        <w:sz w:val="16"/>
        <w:szCs w:val="16"/>
      </w:rPr>
      <w:t xml:space="preserve">MyKad Developer Ecosystem — Research Portfolio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DM Sans" w:cs="DM Sans" w:eastAsia="DM Sans" w:hAnsi="DM Sans"/>
      <w:b/>
      <w:bCs/>
      <w:color w:val="1A365D"/>
      <w:sz w:val="36"/>
      <w:szCs w:val="36"/>
    </w:rPr>
  </w:style>
  <w:style w:type="paragraph" w:styleId="Heading2">
    <w:name w:val="Heading 2"/>
    <w:basedOn w:val="Normal"/>
    <w:next w:val="Normal"/>
    <w:qFormat/>
    <w:pPr>
      <w:spacing w:after="160" w:before="280"/>
      <w:outlineLvl w:val="1"/>
    </w:pPr>
    <w:rPr>
      <w:rFonts w:ascii="DM Sans" w:cs="DM Sans" w:eastAsia="DM Sans" w:hAnsi="DM Sans"/>
      <w:b/>
      <w:bCs/>
      <w:color w:val="2B6CB0"/>
      <w:sz w:val="28"/>
      <w:szCs w:val="28"/>
    </w:rPr>
  </w:style>
  <w:style w:type="paragraph" w:styleId="Heading3">
    <w:name w:val="Heading 3"/>
    <w:basedOn w:val="Normal"/>
    <w:next w:val="Normal"/>
    <w:qFormat/>
    <w:pPr>
      <w:spacing w:after="120" w:before="200"/>
      <w:outlineLvl w:val="2"/>
    </w:pPr>
    <w:rPr>
      <w:rFonts w:ascii="DM Sans" w:cs="DM Sans" w:eastAsia="DM Sans" w:hAnsi="DM Sans"/>
      <w:b/>
      <w:bCs/>
      <w:color w:val="2D86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2026-04-11T14:17:02.112Z</dcterms:created>
  <dcterms:modified xsi:type="dcterms:W3CDTF">2026-04-11T14:17:02.114Z</dcterms:modified>
</cp:coreProperties>
</file>

<file path=docProps/custom.xml><?xml version="1.0" encoding="utf-8"?>
<Properties xmlns="http://schemas.openxmlformats.org/officeDocument/2006/custom-properties" xmlns:vt="http://schemas.openxmlformats.org/officeDocument/2006/docPropsVTypes"/>
</file>