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00" w:rsidRPr="00E309D2" w:rsidRDefault="00661400" w:rsidP="00EF4FF8">
      <w:pPr>
        <w:spacing w:after="0"/>
        <w:ind w:firstLine="360"/>
        <w:rPr>
          <w:lang w:val="uk-UA"/>
        </w:rPr>
      </w:pPr>
      <w:r w:rsidRPr="007A4ED3">
        <w:t xml:space="preserve">9. Спадкува́ння — перехід прав та обов'язків (спадщини) від фізичної особи, яка померла (спадкодавця), до інших </w:t>
      </w:r>
      <w:proofErr w:type="gramStart"/>
      <w:r w:rsidRPr="007A4ED3">
        <w:t>осіб</w:t>
      </w:r>
      <w:proofErr w:type="gramEnd"/>
      <w:r w:rsidRPr="007A4ED3">
        <w:t xml:space="preserve"> (спадкоємців</w:t>
      </w:r>
      <w:r w:rsidR="00E309D2">
        <w:t>)</w:t>
      </w:r>
      <w:r w:rsidR="00E309D2">
        <w:rPr>
          <w:lang w:val="uk-UA"/>
        </w:rPr>
        <w:t>.</w:t>
      </w:r>
    </w:p>
    <w:p w:rsidR="00000000" w:rsidRPr="007A4ED3" w:rsidRDefault="00661400" w:rsidP="00EF4FF8">
      <w:pPr>
        <w:spacing w:after="0"/>
        <w:ind w:firstLine="360"/>
      </w:pPr>
      <w:r w:rsidRPr="007A4ED3">
        <w:t>Види спадкування:</w:t>
      </w:r>
    </w:p>
    <w:p w:rsidR="00661400" w:rsidRPr="007A4ED3" w:rsidRDefault="00661400" w:rsidP="00EF4FF8">
      <w:pPr>
        <w:spacing w:after="0"/>
        <w:ind w:firstLine="360"/>
      </w:pPr>
      <w:r w:rsidRPr="007A4ED3">
        <w:t>Спадкування за заповітом</w:t>
      </w:r>
    </w:p>
    <w:p w:rsidR="00661400" w:rsidRPr="007A4ED3" w:rsidRDefault="00661400" w:rsidP="00EF4FF8">
      <w:pPr>
        <w:spacing w:after="0"/>
        <w:ind w:firstLine="360"/>
      </w:pPr>
      <w:r w:rsidRPr="007A4ED3">
        <w:t>Спадкування за законом</w:t>
      </w:r>
    </w:p>
    <w:p w:rsidR="00661400" w:rsidRPr="007A4ED3" w:rsidRDefault="00661400" w:rsidP="00EF4FF8">
      <w:pPr>
        <w:spacing w:after="0"/>
        <w:ind w:firstLine="360"/>
      </w:pPr>
    </w:p>
    <w:p w:rsidR="00661400" w:rsidRPr="007A4ED3" w:rsidRDefault="00661400" w:rsidP="00EF4FF8">
      <w:pPr>
        <w:spacing w:after="0"/>
        <w:ind w:firstLine="360"/>
      </w:pPr>
      <w:r w:rsidRPr="007A4ED3">
        <w:t xml:space="preserve">10. У випадках спадкування за заповітом воля спадкодавця виражається в заповіті. Якщо стосовно майна укладений заповіт, то </w:t>
      </w:r>
      <w:proofErr w:type="gramStart"/>
      <w:r w:rsidRPr="007A4ED3">
        <w:t>пр</w:t>
      </w:r>
      <w:proofErr w:type="gramEnd"/>
      <w:r w:rsidRPr="007A4ED3">
        <w:t>іоритет надається саме цьому виду спадкування.</w:t>
      </w:r>
    </w:p>
    <w:p w:rsidR="00661400" w:rsidRPr="007A4ED3" w:rsidRDefault="00661400" w:rsidP="00EF4FF8">
      <w:pPr>
        <w:spacing w:after="0"/>
        <w:ind w:firstLine="360"/>
      </w:pPr>
      <w:r w:rsidRPr="007A4ED3">
        <w:t xml:space="preserve">ЦК надає перевагу спадкуванню за заповітом. У заповіті спадкодавець може виявити свою волю розпорядитися своїм майном на користь </w:t>
      </w:r>
      <w:proofErr w:type="gramStart"/>
      <w:r w:rsidRPr="007A4ED3">
        <w:t>будь-яко</w:t>
      </w:r>
      <w:proofErr w:type="gramEnd"/>
      <w:r w:rsidRPr="007A4ED3">
        <w:t>ї особи.</w:t>
      </w:r>
    </w:p>
    <w:p w:rsidR="00661400" w:rsidRPr="007A4ED3" w:rsidRDefault="00661400" w:rsidP="00EF4FF8">
      <w:pPr>
        <w:spacing w:after="0"/>
        <w:ind w:firstLine="360"/>
      </w:pPr>
      <w:r w:rsidRPr="007A4ED3">
        <w:t xml:space="preserve">При спадкуванні за заповітом - </w:t>
      </w:r>
      <w:proofErr w:type="gramStart"/>
      <w:r w:rsidRPr="007A4ED3">
        <w:t>п</w:t>
      </w:r>
      <w:proofErr w:type="gramEnd"/>
      <w:r w:rsidRPr="007A4ED3">
        <w:t xml:space="preserve">ідставою спадкування є заповіт і до спадкування закликаються ті особи, яких заповідач називає як спадкоємців. Громадяни не завжди використовують надані їм можливості приватної рекомендації персоніфікованих відносин щодо конкретної ситуації з метою попередження можливих конфліктів у сфері спадкових і шлюбно-сімейних відносин, покладаючи правове регулювання проблем в одній із найважливіших сфер свого життя на законодавця. Тому </w:t>
      </w:r>
      <w:proofErr w:type="gramStart"/>
      <w:r w:rsidRPr="007A4ED3">
        <w:t>характерною</w:t>
      </w:r>
      <w:proofErr w:type="gramEnd"/>
      <w:r w:rsidRPr="007A4ED3">
        <w:t xml:space="preserve"> ознакою спадкування за законом є втручання держави в приватну сферу.</w:t>
      </w:r>
    </w:p>
    <w:p w:rsidR="00661400" w:rsidRPr="007A4ED3" w:rsidRDefault="00661400" w:rsidP="00EF4FF8">
      <w:pPr>
        <w:spacing w:after="0"/>
        <w:ind w:firstLine="360"/>
      </w:pPr>
    </w:p>
    <w:p w:rsidR="00661400" w:rsidRPr="007A4ED3" w:rsidRDefault="00661400" w:rsidP="00EF4FF8">
      <w:pPr>
        <w:spacing w:after="0"/>
        <w:ind w:firstLine="360"/>
      </w:pPr>
      <w:r w:rsidRPr="007A4ED3">
        <w:t xml:space="preserve">11. Спадкування за законом є вторинним стосовно спадкування за заповітом, оскільки настає лише у випадках, чітко визначених </w:t>
      </w:r>
      <w:proofErr w:type="gramStart"/>
      <w:r w:rsidRPr="007A4ED3">
        <w:t>у</w:t>
      </w:r>
      <w:proofErr w:type="gramEnd"/>
      <w:r w:rsidRPr="007A4ED3">
        <w:t xml:space="preserve"> законі, зокрема, за умови, що:</w:t>
      </w:r>
    </w:p>
    <w:p w:rsidR="00661400" w:rsidRPr="007A4ED3" w:rsidRDefault="00661400" w:rsidP="00EF4FF8">
      <w:pPr>
        <w:spacing w:after="0"/>
        <w:ind w:firstLine="360"/>
      </w:pPr>
      <w:r w:rsidRPr="007A4ED3">
        <w:t>1) заповіту нема</w:t>
      </w:r>
      <w:proofErr w:type="gramStart"/>
      <w:r w:rsidRPr="007A4ED3">
        <w:t>є;</w:t>
      </w:r>
      <w:proofErr w:type="gramEnd"/>
    </w:p>
    <w:p w:rsidR="00661400" w:rsidRPr="007A4ED3" w:rsidRDefault="00661400" w:rsidP="00EF4FF8">
      <w:pPr>
        <w:spacing w:after="0"/>
        <w:ind w:firstLine="360"/>
      </w:pPr>
      <w:r w:rsidRPr="007A4ED3">
        <w:t>2) заповіт визнано недійсним;</w:t>
      </w:r>
    </w:p>
    <w:p w:rsidR="00661400" w:rsidRPr="007A4ED3" w:rsidRDefault="00661400" w:rsidP="00EF4FF8">
      <w:pPr>
        <w:spacing w:after="0"/>
        <w:ind w:firstLine="360"/>
      </w:pPr>
      <w:r w:rsidRPr="007A4ED3">
        <w:t xml:space="preserve">3) за заповітом </w:t>
      </w:r>
      <w:proofErr w:type="gramStart"/>
      <w:r w:rsidRPr="007A4ED3">
        <w:t>передається</w:t>
      </w:r>
      <w:proofErr w:type="gramEnd"/>
      <w:r w:rsidRPr="007A4ED3">
        <w:t xml:space="preserve"> тільки частина майна;</w:t>
      </w:r>
    </w:p>
    <w:p w:rsidR="00661400" w:rsidRPr="007A4ED3" w:rsidRDefault="00661400" w:rsidP="00EF4FF8">
      <w:pPr>
        <w:spacing w:after="0"/>
        <w:ind w:firstLine="360"/>
      </w:pPr>
      <w:r w:rsidRPr="007A4ED3">
        <w:t xml:space="preserve">4) спадкоємець за заповітом помер </w:t>
      </w:r>
      <w:proofErr w:type="gramStart"/>
      <w:r w:rsidRPr="007A4ED3">
        <w:t>до</w:t>
      </w:r>
      <w:proofErr w:type="gramEnd"/>
      <w:r w:rsidRPr="007A4ED3">
        <w:t xml:space="preserve"> відкриття спадщини;</w:t>
      </w:r>
    </w:p>
    <w:p w:rsidR="00661400" w:rsidRPr="007A4ED3" w:rsidRDefault="00661400" w:rsidP="00EF4FF8">
      <w:pPr>
        <w:spacing w:after="0"/>
        <w:ind w:firstLine="360"/>
      </w:pPr>
      <w:r w:rsidRPr="007A4ED3">
        <w:t>5) спадкоємець за заповітом відмовився від прийняття спадщини.</w:t>
      </w:r>
    </w:p>
    <w:p w:rsidR="00661400" w:rsidRPr="007A4ED3" w:rsidRDefault="00661400" w:rsidP="00EF4FF8">
      <w:pPr>
        <w:spacing w:after="0"/>
        <w:ind w:firstLine="360"/>
      </w:pPr>
      <w:r w:rsidRPr="007A4ED3">
        <w:t>У таких випадках право на спадкування набувають в першу чергу - діти спадкодавця, в тому числі зачаті за його життя та народжені після його смерті, той з подружжя, який його пережив, та батьки; у другу - рідні брати та сестри спадкодавця, його баба та ді</w:t>
      </w:r>
      <w:proofErr w:type="gramStart"/>
      <w:r w:rsidRPr="007A4ED3">
        <w:t>д</w:t>
      </w:r>
      <w:proofErr w:type="gramEnd"/>
      <w:r w:rsidRPr="007A4ED3">
        <w:t xml:space="preserve"> як з боку батька, так і з боку матері; у третю - </w:t>
      </w:r>
      <w:proofErr w:type="gramStart"/>
      <w:r w:rsidRPr="007A4ED3">
        <w:t>р</w:t>
      </w:r>
      <w:proofErr w:type="gramEnd"/>
      <w:r w:rsidRPr="007A4ED3">
        <w:t>ідні дядько та тітка спадкодавця; у четверту - особи, які проживали зі спадкодавцем однією сім'єю не менш як 5 років до часу відкриття спадщини; у п'яту - інші родичі спадкодавця до шостого ступеня споріднення включно, утриманці спадкодавця, які не були членами його сім'ї, тощо.</w:t>
      </w:r>
    </w:p>
    <w:p w:rsidR="00661400" w:rsidRPr="007A4ED3" w:rsidRDefault="00661400" w:rsidP="00EF4FF8">
      <w:pPr>
        <w:spacing w:after="0"/>
        <w:ind w:firstLine="360"/>
      </w:pPr>
      <w:r w:rsidRPr="007A4ED3">
        <w:t>Кого ж саме законодавець називає в числі спадкоємці</w:t>
      </w:r>
      <w:proofErr w:type="gramStart"/>
      <w:r w:rsidRPr="007A4ED3">
        <w:t>в</w:t>
      </w:r>
      <w:proofErr w:type="gramEnd"/>
      <w:r w:rsidRPr="007A4ED3">
        <w:t xml:space="preserve"> за законом?</w:t>
      </w:r>
    </w:p>
    <w:p w:rsidR="00661400" w:rsidRPr="007A4ED3" w:rsidRDefault="00661400" w:rsidP="00EF4FF8">
      <w:pPr>
        <w:spacing w:after="0"/>
        <w:ind w:firstLine="360"/>
      </w:pPr>
      <w:r w:rsidRPr="007A4ED3">
        <w:t>Передусім, це особи, які за характером сімейно-побутових відносин були найближчими до покійного. Незважаючи на те, що спадкодавець не склав заповіту, законодавець намагається передбачити, кому б цей громадянин міг залишити своє майно, і цілком обгрунтовано вважа</w:t>
      </w:r>
      <w:proofErr w:type="gramStart"/>
      <w:r w:rsidRPr="007A4ED3">
        <w:t>є,</w:t>
      </w:r>
      <w:proofErr w:type="gramEnd"/>
      <w:r w:rsidRPr="007A4ED3">
        <w:t xml:space="preserve"> що це мають бути найближчі до померлого особи.</w:t>
      </w:r>
    </w:p>
    <w:p w:rsidR="00661400" w:rsidRPr="007A4ED3" w:rsidRDefault="00661400" w:rsidP="00EF4FF8">
      <w:pPr>
        <w:spacing w:after="0"/>
        <w:ind w:firstLine="360"/>
      </w:pPr>
      <w:r w:rsidRPr="007A4ED3">
        <w:t xml:space="preserve">Чинне цивільне законодавство передбачає такі </w:t>
      </w:r>
      <w:proofErr w:type="gramStart"/>
      <w:r w:rsidRPr="007A4ED3">
        <w:t>п</w:t>
      </w:r>
      <w:proofErr w:type="gramEnd"/>
      <w:r w:rsidRPr="007A4ED3">
        <w:t>ідстави спадкування за законом: родинні відносини; відносини усиновлення (удочеріння); шлюб; сімейні відносини; перебування на утриманні.</w:t>
      </w:r>
    </w:p>
    <w:p w:rsidR="00661400" w:rsidRPr="007D1AB1" w:rsidRDefault="00661400" w:rsidP="007D1AB1">
      <w:pPr>
        <w:spacing w:after="0"/>
        <w:rPr>
          <w:lang w:val="uk-UA"/>
        </w:rPr>
      </w:pPr>
    </w:p>
    <w:p w:rsidR="00661400" w:rsidRPr="007A4ED3" w:rsidRDefault="00661400" w:rsidP="00EF4FF8">
      <w:pPr>
        <w:spacing w:after="0"/>
        <w:ind w:firstLine="360"/>
      </w:pPr>
      <w:r w:rsidRPr="007A4ED3">
        <w:t>12. ЦК України в ст. 16 надає право кожній особі звернутися до суду за захистом свого особистого немайнового або майнового права та інтересу, а також визначає орієнтовний перелі</w:t>
      </w:r>
      <w:proofErr w:type="gramStart"/>
      <w:r w:rsidRPr="007A4ED3">
        <w:t>к</w:t>
      </w:r>
      <w:proofErr w:type="gramEnd"/>
      <w:r w:rsidRPr="007A4ED3">
        <w:t xml:space="preserve"> способів судового захисту цивільних прав та інтересів.</w:t>
      </w:r>
    </w:p>
    <w:p w:rsidR="00661400" w:rsidRPr="007A4ED3" w:rsidRDefault="00661400" w:rsidP="00EF4FF8">
      <w:pPr>
        <w:spacing w:after="0"/>
        <w:ind w:firstLine="360"/>
      </w:pPr>
      <w:proofErr w:type="gramStart"/>
      <w:r w:rsidRPr="007A4ED3">
        <w:t>Відповідно до Закону України "Про судоустрій України" правосуддя в Україні здійснюється у формі цивільного, господарського, адміністративного, кримінального та конституційного судочинства Конституційним Судом України та судами загальної юрисдикції. Цим же Законом передбачається принцип гарантування усім суб'єктам правовідносин захисту їхніх прав, свобод</w:t>
      </w:r>
      <w:proofErr w:type="gramEnd"/>
      <w:r w:rsidRPr="007A4ED3">
        <w:t xml:space="preserve"> та законних інтересів незалежним і неупередженим судом, утвореним відповідно </w:t>
      </w:r>
      <w:proofErr w:type="gramStart"/>
      <w:r w:rsidRPr="007A4ED3">
        <w:t>до</w:t>
      </w:r>
      <w:proofErr w:type="gramEnd"/>
      <w:r w:rsidRPr="007A4ED3">
        <w:t xml:space="preserve"> закону (ст. 6 Закону). Також передбачається неможливість позбавлення суб'єктів права на розгляд їхніх справ у суді, до </w:t>
      </w:r>
      <w:proofErr w:type="gramStart"/>
      <w:r w:rsidRPr="007A4ED3">
        <w:t>п</w:t>
      </w:r>
      <w:proofErr w:type="gramEnd"/>
      <w:r w:rsidRPr="007A4ED3">
        <w:t>ідсудності якого вони віднесені. Причому правом на судовий захист наділяються не лише громадяни України та юридичні особи, створені за законодавством України, а й іноземці, особи без громадянства та іноземні юридичні особи.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A4ED3">
        <w:t>У ч. 2 ст. 16 ЦК визначається перелік основних способів захисту цивільних прав та інтересі</w:t>
      </w:r>
      <w:proofErr w:type="gramStart"/>
      <w:r w:rsidRPr="007A4ED3">
        <w:t>в</w:t>
      </w:r>
      <w:proofErr w:type="gramEnd"/>
      <w:r w:rsidRPr="007A4ED3">
        <w:t xml:space="preserve">. </w:t>
      </w:r>
      <w:proofErr w:type="gramStart"/>
      <w:r w:rsidRPr="007A4ED3">
        <w:t>Першим</w:t>
      </w:r>
      <w:proofErr w:type="gramEnd"/>
      <w:r w:rsidRPr="007A4ED3">
        <w:t xml:space="preserve"> способом захисту, передбаченим ст. 16, є визнання права. Позов про визнання права </w:t>
      </w:r>
      <w:proofErr w:type="gramStart"/>
      <w:r w:rsidRPr="007A4ED3">
        <w:t>подається</w:t>
      </w:r>
      <w:proofErr w:type="gramEnd"/>
      <w:r w:rsidRPr="007A4ED3">
        <w:t xml:space="preserve"> у випадках, коли належне певній особі право не визнається, оспорюється іншою особою або у разі відсутності в неї документів, що </w:t>
      </w:r>
      <w:r w:rsidRPr="007A4ED3">
        <w:lastRenderedPageBreak/>
        <w:t xml:space="preserve">засвідчують приналежність їй права. Тобто метою подання цього позову є усунення невизначеності у суб'єктивному праві, належному особі, а також створення сприятливих умов для здійснення суб'єктивного права особою. 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A4ED3">
        <w:t xml:space="preserve">Наступний спосіб захисту - про визнання правочину недійсним - застосовується у </w:t>
      </w:r>
      <w:proofErr w:type="gramStart"/>
      <w:r w:rsidRPr="007A4ED3">
        <w:t>тих</w:t>
      </w:r>
      <w:proofErr w:type="gramEnd"/>
      <w:r w:rsidRPr="007A4ED3">
        <w:t xml:space="preserve"> випадках, коли необхідно відновити становище, що існувало до укладення правочину з порушенням умов його дійсності. </w:t>
      </w:r>
    </w:p>
    <w:p w:rsidR="007D1AB1" w:rsidRPr="007D1AB1" w:rsidRDefault="007A4ED3" w:rsidP="007D1AB1">
      <w:pPr>
        <w:spacing w:after="0"/>
        <w:ind w:firstLine="360"/>
        <w:rPr>
          <w:lang w:val="uk-UA"/>
        </w:rPr>
      </w:pPr>
      <w:r w:rsidRPr="007A4ED3">
        <w:t xml:space="preserve">Третій спосіб захисту цивільних прав - припинення дії, яка порушує право - пов'язаний зі вчиненням іншою </w:t>
      </w:r>
      <w:proofErr w:type="gramStart"/>
      <w:r w:rsidRPr="007A4ED3">
        <w:t>особою</w:t>
      </w:r>
      <w:proofErr w:type="gramEnd"/>
      <w:r w:rsidRPr="007A4ED3">
        <w:t xml:space="preserve"> незаконних дій, спрямованих на порушення права, належного особі. 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A4ED3">
        <w:t xml:space="preserve">Четвертий спосіб захисту - відновлення становища, яке існувало до порушення права. Цей спосіб пов'язаний з застосуванням певних заходів, спрямованих на відновлення порушеного суб'єктивного права особи </w:t>
      </w:r>
      <w:proofErr w:type="gramStart"/>
      <w:r w:rsidRPr="007A4ED3">
        <w:t>у</w:t>
      </w:r>
      <w:proofErr w:type="gramEnd"/>
      <w:r w:rsidRPr="007A4ED3">
        <w:t xml:space="preserve"> тому стані, в якому воно існувало до його порушення. 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D1AB1">
        <w:rPr>
          <w:lang w:val="uk-UA"/>
        </w:rPr>
        <w:t>П'ятий спосіб захисту - примусове виконання обов'язку в натурі - застосовується у тих випадках, коли відповідач зобов'язаний був учинити певні дії щодо позивача, але відмовився або уникає можливості виконати свій обов'язок.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D1AB1">
        <w:rPr>
          <w:lang w:val="uk-UA"/>
        </w:rPr>
        <w:t xml:space="preserve"> Наступні способи захисту - зміна та припинення правовідношення - пов'язані з необхідністю змінити чи припинити існуюче правовідношення у зв'язку з, наприклад, порушенням його однією із сторін</w:t>
      </w:r>
      <w:r w:rsidR="007D1AB1">
        <w:rPr>
          <w:lang w:val="uk-UA"/>
        </w:rPr>
        <w:t>.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D1AB1">
        <w:rPr>
          <w:lang w:val="uk-UA"/>
        </w:rPr>
        <w:t xml:space="preserve">Наступний спосіб захисту - відшкодування збитків - та інші способи відшкодування майнової шкоди можуть як застосовуватися самостійно, так і поєднуватися з іншими вимогами, наприклад з позовами про розірвання договору у зв'язку з невиконанням чи неналежним виконанням його другою стороною, про примусове виконання обов'язку в натурі, про усунення перешкод у користуванні майном тощо. </w:t>
      </w:r>
    </w:p>
    <w:p w:rsidR="007D1AB1" w:rsidRDefault="007A4ED3" w:rsidP="00EF4FF8">
      <w:pPr>
        <w:spacing w:after="0"/>
        <w:ind w:firstLine="360"/>
        <w:rPr>
          <w:lang w:val="uk-UA"/>
        </w:rPr>
      </w:pPr>
      <w:r w:rsidRPr="007D1AB1">
        <w:rPr>
          <w:lang w:val="uk-UA"/>
        </w:rPr>
        <w:t xml:space="preserve">Дев'ятий спосіб захисту - відшкодування моральної (немайнової шкоди) - пов'язаний з наявністю у особи моральних страждань, що виникли через неправомірні дії (бездіяльність) іншої особи та стали наслідком знищення чи пошкодження майна, заподіяння каліцтва, іншого ушкодження здоров'я або смерті. </w:t>
      </w:r>
    </w:p>
    <w:p w:rsidR="007A4ED3" w:rsidRDefault="007A4ED3" w:rsidP="00EF4FF8">
      <w:pPr>
        <w:spacing w:after="0"/>
        <w:ind w:firstLine="360"/>
        <w:rPr>
          <w:lang w:val="uk-UA"/>
        </w:rPr>
      </w:pPr>
      <w:r w:rsidRPr="007D1AB1">
        <w:rPr>
          <w:lang w:val="uk-UA"/>
        </w:rPr>
        <w:t xml:space="preserve">Останній спосіб захисту цивільних прав, передбачений ст. 16 ЦК - визнання незаконними рішення, дій чи бездіяльності органу державної влади, органу влади АРК, органу місцевого самоврядування, їхніх посадових і службових осіб - характеризується чітко визначеним суб'єктом-заподіювачем шкоди" якими є відповідні державні органи чи їхні посадові і службові особи. </w:t>
      </w:r>
    </w:p>
    <w:p w:rsidR="007D1AB1" w:rsidRPr="007D1AB1" w:rsidRDefault="007D1AB1" w:rsidP="00EF4FF8">
      <w:pPr>
        <w:spacing w:after="0"/>
        <w:ind w:firstLine="360"/>
        <w:rPr>
          <w:lang w:val="uk-UA"/>
        </w:rPr>
      </w:pPr>
    </w:p>
    <w:p w:rsidR="007A4ED3" w:rsidRPr="007A4ED3" w:rsidRDefault="007A4ED3" w:rsidP="00EF4FF8">
      <w:pPr>
        <w:spacing w:after="0"/>
        <w:ind w:firstLine="360"/>
      </w:pPr>
      <w:r w:rsidRPr="007A4ED3">
        <w:t xml:space="preserve">13. Учасники кримінального провадження - це усі суб'єкти, які </w:t>
      </w:r>
      <w:proofErr w:type="gramStart"/>
      <w:r w:rsidRPr="007A4ED3">
        <w:t>п</w:t>
      </w:r>
      <w:proofErr w:type="gramEnd"/>
      <w:r w:rsidRPr="007A4ED3">
        <w:t>ід час кримінального провадження вступають між собою у правовідносини, здійснюючи певну процесуальну функцію.</w:t>
      </w:r>
    </w:p>
    <w:p w:rsidR="007A4ED3" w:rsidRPr="007A4ED3" w:rsidRDefault="007A4ED3" w:rsidP="00EF4FF8">
      <w:pPr>
        <w:spacing w:after="0"/>
        <w:ind w:firstLine="360"/>
      </w:pPr>
      <w:r w:rsidRPr="007A4ED3">
        <w:t>Ознаки учасників кримінального провадження:</w:t>
      </w:r>
    </w:p>
    <w:p w:rsidR="007A4ED3" w:rsidRPr="007A4ED3" w:rsidRDefault="007A4ED3" w:rsidP="00EF4FF8">
      <w:pPr>
        <w:spacing w:after="0"/>
        <w:ind w:firstLine="360"/>
      </w:pPr>
      <w:r w:rsidRPr="007A4ED3">
        <w:t>1) їх участь у справі передбачена кримінальним процесуальним законом;</w:t>
      </w:r>
    </w:p>
    <w:p w:rsidR="007A4ED3" w:rsidRPr="007A4ED3" w:rsidRDefault="007A4ED3" w:rsidP="00EF4FF8">
      <w:pPr>
        <w:spacing w:after="0"/>
        <w:ind w:firstLine="360"/>
      </w:pPr>
      <w:r w:rsidRPr="007A4ED3">
        <w:t>2) вони є учасниками певних процесуальних прав і обов'язкі</w:t>
      </w:r>
      <w:proofErr w:type="gramStart"/>
      <w:r w:rsidRPr="007A4ED3">
        <w:t>в</w:t>
      </w:r>
      <w:proofErr w:type="gramEnd"/>
      <w:r w:rsidRPr="007A4ED3">
        <w:t>;</w:t>
      </w:r>
    </w:p>
    <w:p w:rsidR="007A4ED3" w:rsidRPr="007A4ED3" w:rsidRDefault="007A4ED3" w:rsidP="00EF4FF8">
      <w:pPr>
        <w:spacing w:after="0"/>
        <w:ind w:firstLine="360"/>
      </w:pPr>
      <w:r w:rsidRPr="007A4ED3">
        <w:t>3) діють у кримінальному провадженні відповідно до своїх прав і обов'язкі</w:t>
      </w:r>
      <w:proofErr w:type="gramStart"/>
      <w:r w:rsidRPr="007A4ED3">
        <w:t>в</w:t>
      </w:r>
      <w:proofErr w:type="gramEnd"/>
      <w:r w:rsidRPr="007A4ED3">
        <w:t>;</w:t>
      </w:r>
    </w:p>
    <w:p w:rsidR="007A4ED3" w:rsidRPr="007A4ED3" w:rsidRDefault="007A4ED3" w:rsidP="00EF4FF8">
      <w:pPr>
        <w:spacing w:after="0"/>
        <w:ind w:firstLine="360"/>
      </w:pPr>
      <w:r w:rsidRPr="007A4ED3">
        <w:t>4) вступають у процесуально-правові відносини.</w:t>
      </w:r>
    </w:p>
    <w:p w:rsidR="007A4ED3" w:rsidRPr="007A4ED3" w:rsidRDefault="007A4ED3" w:rsidP="00EF4FF8">
      <w:pPr>
        <w:spacing w:after="0"/>
        <w:ind w:firstLine="360"/>
      </w:pPr>
      <w:bookmarkStart w:id="0" w:name="306"/>
      <w:bookmarkEnd w:id="0"/>
      <w:r w:rsidRPr="007A4ED3">
        <w:t>Класифікація</w:t>
      </w:r>
    </w:p>
    <w:p w:rsidR="007A4ED3" w:rsidRPr="007A4ED3" w:rsidRDefault="007A4ED3" w:rsidP="00EF4FF8">
      <w:pPr>
        <w:spacing w:after="0"/>
        <w:ind w:firstLine="360"/>
      </w:pPr>
      <w:r w:rsidRPr="007A4ED3">
        <w:t xml:space="preserve">Учасники кримінального провадження розрізняються за своїм процесуальним становищем, виконанням кримінальних процесуальних функцій і завдань. Вони переслідують кожний свою мету, вступають між собою у </w:t>
      </w:r>
      <w:proofErr w:type="gramStart"/>
      <w:r w:rsidRPr="007A4ED3">
        <w:t>р</w:t>
      </w:r>
      <w:proofErr w:type="gramEnd"/>
      <w:r w:rsidRPr="007A4ED3">
        <w:t xml:space="preserve">ізноманітні правовідносини. Це створює передумови для їх класифікації - в наукових, навчальних і правозастосовних цілях. Існують </w:t>
      </w:r>
      <w:proofErr w:type="gramStart"/>
      <w:r w:rsidRPr="007A4ED3">
        <w:t>р</w:t>
      </w:r>
      <w:proofErr w:type="gramEnd"/>
      <w:r w:rsidRPr="007A4ED3">
        <w:t>ізноманітні класифікації учасників процесу.</w:t>
      </w:r>
    </w:p>
    <w:p w:rsidR="007A4ED3" w:rsidRPr="007A4ED3" w:rsidRDefault="007A4ED3" w:rsidP="00EF4FF8">
      <w:pPr>
        <w:spacing w:after="0"/>
        <w:ind w:firstLine="360"/>
      </w:pPr>
      <w:r>
        <w:t>Н</w:t>
      </w:r>
      <w:r w:rsidRPr="007A4ED3">
        <w:t xml:space="preserve">айбільш вдалою є класифікація, основою якої є кримінальна процесуальна функція учасника. За цією класифікаційною ознакою </w:t>
      </w:r>
      <w:proofErr w:type="gramStart"/>
      <w:r w:rsidRPr="007A4ED3">
        <w:t>вс</w:t>
      </w:r>
      <w:proofErr w:type="gramEnd"/>
      <w:r w:rsidRPr="007A4ED3">
        <w:t>іх учасників поділяють на 4 групи.</w:t>
      </w:r>
    </w:p>
    <w:p w:rsidR="007A4ED3" w:rsidRPr="007A4ED3" w:rsidRDefault="007A4ED3" w:rsidP="00EF4FF8">
      <w:pPr>
        <w:spacing w:after="0"/>
        <w:ind w:firstLine="360"/>
      </w:pPr>
      <w:r w:rsidRPr="007A4ED3">
        <w:t>1. Гасники, які виконують функцію правосуддя (суд, слідчий суддя).</w:t>
      </w:r>
    </w:p>
    <w:p w:rsidR="007A4ED3" w:rsidRPr="007A4ED3" w:rsidRDefault="007A4ED3" w:rsidP="00EF4FF8">
      <w:pPr>
        <w:spacing w:after="0"/>
        <w:ind w:firstLine="360"/>
      </w:pPr>
      <w:r w:rsidRPr="007A4ED3">
        <w:t>2. Учасники, які виконують функцію обвинувачення (слідчий, керівник органу досудового розслідування, прокурор, а також потерпілий, його представник та законний представник у випадках, установлених КПК).</w:t>
      </w:r>
    </w:p>
    <w:p w:rsidR="007A4ED3" w:rsidRPr="007A4ED3" w:rsidRDefault="007A4ED3" w:rsidP="00EF4FF8">
      <w:pPr>
        <w:spacing w:after="0"/>
        <w:ind w:firstLine="360"/>
      </w:pPr>
      <w:r w:rsidRPr="007A4ED3">
        <w:t>3. Учасники, які виконують функцію захисту (</w:t>
      </w:r>
      <w:proofErr w:type="gramStart"/>
      <w:r w:rsidRPr="007A4ED3">
        <w:t>п</w:t>
      </w:r>
      <w:proofErr w:type="gramEnd"/>
      <w:r w:rsidRPr="007A4ED3">
        <w:t>ідозрюваний, обвинувачений (підсудний), засуджений, виправданий, особа, стосовно якої передбачається застосування ПЗМХ чи ПЗВХ або вирішувалося питання про їх застосування, їхні захисники та законні представники);</w:t>
      </w:r>
    </w:p>
    <w:p w:rsidR="007A4ED3" w:rsidRPr="007A4ED3" w:rsidRDefault="007A4ED3" w:rsidP="00EF4FF8">
      <w:pPr>
        <w:spacing w:after="0"/>
        <w:ind w:firstLine="360"/>
      </w:pPr>
      <w:r w:rsidRPr="007A4ED3">
        <w:t xml:space="preserve">4. Учасники, які виконують допоміжну функцію (заявник; </w:t>
      </w:r>
      <w:proofErr w:type="gramStart"/>
      <w:r w:rsidRPr="007A4ED3">
        <w:t>св</w:t>
      </w:r>
      <w:proofErr w:type="gramEnd"/>
      <w:r w:rsidRPr="007A4ED3">
        <w:t xml:space="preserve">ідок; експерт; керівник експертної установи; спеціаліст; перекладач; особа, яка розуміє знаки німого або глухого; поняті; поручителі; педагог; лікар; батьки або інші законні представники неповнолітнього свідка, які присутні при його допиті; особи, разом з якими особа пред'являється для впізнання; особи, які беруть участь у слідчому експерименті, обшукуваний; особа, в якої беруться зразки для експертного </w:t>
      </w:r>
      <w:proofErr w:type="gramStart"/>
      <w:r w:rsidRPr="007A4ED3">
        <w:t>досл</w:t>
      </w:r>
      <w:proofErr w:type="gramEnd"/>
      <w:r w:rsidRPr="007A4ED3">
        <w:t xml:space="preserve">ідження; особи, що займають приміщення, в якому провадяться обшук, </w:t>
      </w:r>
      <w:r w:rsidRPr="007A4ED3">
        <w:lastRenderedPageBreak/>
        <w:t>огляд; особи, присутні при провадженні обшуку; особа, котрій передано на зберігання майно, на яке накладено арешт; секретар судового засідання.).</w:t>
      </w:r>
    </w:p>
    <w:p w:rsidR="007A4ED3" w:rsidRDefault="007A4ED3" w:rsidP="00EF4FF8">
      <w:pPr>
        <w:spacing w:after="0"/>
        <w:ind w:firstLine="360"/>
      </w:pPr>
    </w:p>
    <w:p w:rsidR="007A4ED3" w:rsidRPr="007A4ED3" w:rsidRDefault="007A4ED3" w:rsidP="00EF4FF8">
      <w:pPr>
        <w:spacing w:after="0"/>
        <w:ind w:firstLine="360"/>
      </w:pPr>
      <w:r w:rsidRPr="007A4ED3">
        <w:t>14. Потерпілий — у кримінальному провадженні фізична особа, якій кримінальним правопорушенням завдано моральної, фізичної або майнової шкоди, а також юридична особа, якій кримінальним правопорушенням завдано майнової шкоди.</w:t>
      </w:r>
    </w:p>
    <w:p w:rsidR="007A4ED3" w:rsidRPr="007A4ED3" w:rsidRDefault="007A4ED3" w:rsidP="00EF4FF8">
      <w:pPr>
        <w:spacing w:after="0"/>
        <w:ind w:firstLine="360"/>
        <w:rPr>
          <w:u w:val="single"/>
        </w:rPr>
      </w:pPr>
      <w:r w:rsidRPr="007A4ED3">
        <w:rPr>
          <w:u w:val="single"/>
        </w:rPr>
        <w:t>Права потерпілого: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>бути повідомленим про свої права та обов'язки;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знати сутність </w:t>
      </w:r>
      <w:proofErr w:type="gramStart"/>
      <w:r w:rsidRPr="007A4ED3">
        <w:t>п</w:t>
      </w:r>
      <w:proofErr w:type="gramEnd"/>
      <w:r w:rsidRPr="007A4ED3">
        <w:t>ідозри та обвинувачення, бути повідомленим про обрання, зміну чи скасування щодо підозрюваного, обвинуваченого заходів забезпечення кримінального провадження та закінчення досудового розслідування;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>подавати докази слідчому, прокурору, слідчому судді, суду;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>заявляти відводи та клопотання;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за наявності відповідних </w:t>
      </w:r>
      <w:proofErr w:type="gramStart"/>
      <w:r w:rsidRPr="007A4ED3">
        <w:t>п</w:t>
      </w:r>
      <w:proofErr w:type="gramEnd"/>
      <w:r w:rsidRPr="007A4ED3">
        <w:t>ідстав — на забезпечення безпеки щодо себе, близьких родичів чи членів своєї сім'ї, майна та житла;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>давати пояснення, показання або відмовитися їх давати;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оскаржувати </w:t>
      </w:r>
      <w:proofErr w:type="gramStart"/>
      <w:r w:rsidRPr="007A4ED3">
        <w:t>р</w:t>
      </w:r>
      <w:proofErr w:type="gramEnd"/>
      <w:r w:rsidRPr="007A4ED3">
        <w:t>ішення, дії чи бездіяльність слідчого, прокурора, слідчого судді;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>мати представника та в будь-який момент кримінального провадження відмовитися від його послуг;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давати пояснення, показання </w:t>
      </w:r>
      <w:proofErr w:type="gramStart"/>
      <w:r w:rsidRPr="007A4ED3">
        <w:t>р</w:t>
      </w:r>
      <w:proofErr w:type="gramEnd"/>
      <w:r w:rsidRPr="007A4ED3">
        <w:t>ідною або іншою мовою, якою він вільно володіє, безоплатно за рахунок держави користуватися послугами перекладача в разі, якщо він не володіє державною мовою чи мовою, якою ведеться кримінальне провадження;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на відшкодування завданої кримінальним правопорушенням </w:t>
      </w:r>
      <w:proofErr w:type="gramStart"/>
      <w:r w:rsidRPr="007A4ED3">
        <w:t>шкоди в</w:t>
      </w:r>
      <w:proofErr w:type="gramEnd"/>
      <w:r w:rsidRPr="007A4ED3">
        <w:t xml:space="preserve"> порядку, передбаченому законом;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знайомитися з матеріалами, які безпосередньо стосуються вчиненого щодо нього кримінального правопорушення, в тому числі </w:t>
      </w:r>
      <w:proofErr w:type="gramStart"/>
      <w:r w:rsidRPr="007A4ED3">
        <w:t>п</w:t>
      </w:r>
      <w:proofErr w:type="gramEnd"/>
      <w:r w:rsidRPr="007A4ED3">
        <w:t>ісля відкриття матеріалів, а також знайомитися з матеріалами кримінального провадження, які безпосередньо стосуються вчиненого щодо нього кримінального правопорушення, у випадку закриття цього провадження;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застосовувати технічні засоби при проведенні процесуальних дій, в яких він бере участь. Слідчий, прокурор, [[[слідчий суддя]], суд вправі заборонити потерпілому застосовувати технічні засоби при проведенні окремої процесуальної дії </w:t>
      </w:r>
      <w:proofErr w:type="gramStart"/>
      <w:r w:rsidRPr="007A4ED3">
        <w:t>чи на</w:t>
      </w:r>
      <w:proofErr w:type="gramEnd"/>
      <w:r w:rsidRPr="007A4ED3">
        <w:t xml:space="preserve"> певній стадії кримінального провадження з метою нерозголошення даних, які містять таємницю, що охороняється законом чи стосується інтимних сторін життя людини, про що виноситься (постановляється) вмотивована постанова (ухвала);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>на негайне прийняття і реєстрацію заяви про кримінальне правопорушення, визнання його потерпілим;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отримувати від уповноваженого органу, до якого він подав заяву, документ, що </w:t>
      </w:r>
      <w:proofErr w:type="gramStart"/>
      <w:r w:rsidRPr="007A4ED3">
        <w:t>п</w:t>
      </w:r>
      <w:proofErr w:type="gramEnd"/>
      <w:r w:rsidRPr="007A4ED3">
        <w:t>ідтверджує її прийняття і реєстрацію;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подавати докази на </w:t>
      </w:r>
      <w:proofErr w:type="gramStart"/>
      <w:r w:rsidRPr="007A4ED3">
        <w:t>п</w:t>
      </w:r>
      <w:proofErr w:type="gramEnd"/>
      <w:r w:rsidRPr="007A4ED3">
        <w:t>ідтвердження своєї заяви;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брати участь у слідчих (розшукових) та інших процесуальних діях, </w:t>
      </w:r>
      <w:proofErr w:type="gramStart"/>
      <w:r w:rsidRPr="007A4ED3">
        <w:t>п</w:t>
      </w:r>
      <w:proofErr w:type="gramEnd"/>
      <w:r w:rsidRPr="007A4ED3">
        <w:t>ід час проведення яких ставити запитання, подавати свої зауваження та заперечення щодо порядку проведення дій, що заносяться до протоколу, а також знайомитися з протоколами слідчих (розшукових) та інших процесуальних дій, виконаних за його участю;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бути завчасно поінформованим про час і місце </w:t>
      </w:r>
      <w:proofErr w:type="gramStart"/>
      <w:r w:rsidRPr="007A4ED3">
        <w:t>судового</w:t>
      </w:r>
      <w:proofErr w:type="gramEnd"/>
      <w:r w:rsidRPr="007A4ED3">
        <w:t xml:space="preserve"> розгляду;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proofErr w:type="gramStart"/>
      <w:r w:rsidRPr="007A4ED3">
        <w:t>п</w:t>
      </w:r>
      <w:proofErr w:type="gramEnd"/>
      <w:r w:rsidRPr="007A4ED3">
        <w:t>ідтримувати обвинувачення в суді у випадку відмови прокурора від підтримання державного обвинувачення;</w:t>
      </w:r>
    </w:p>
    <w:p w:rsidR="007A4ED3" w:rsidRPr="007A4ED3" w:rsidRDefault="007A4ED3" w:rsidP="00EF4FF8">
      <w:pPr>
        <w:pStyle w:val="a6"/>
        <w:numPr>
          <w:ilvl w:val="0"/>
          <w:numId w:val="5"/>
        </w:numPr>
        <w:spacing w:after="0"/>
      </w:pPr>
      <w:r w:rsidRPr="007A4ED3">
        <w:t xml:space="preserve">знайомитися з судовими </w:t>
      </w:r>
      <w:proofErr w:type="gramStart"/>
      <w:r w:rsidRPr="007A4ED3">
        <w:t>р</w:t>
      </w:r>
      <w:proofErr w:type="gramEnd"/>
      <w:r w:rsidRPr="007A4ED3">
        <w:t>ішеннями, журналом судового засідання і технічним записом кримінального провадження в суді.</w:t>
      </w:r>
    </w:p>
    <w:p w:rsidR="007A4ED3" w:rsidRPr="007A4ED3" w:rsidRDefault="007A4ED3" w:rsidP="00EF4FF8">
      <w:pPr>
        <w:spacing w:after="0"/>
        <w:ind w:firstLine="360"/>
        <w:rPr>
          <w:u w:val="single"/>
        </w:rPr>
      </w:pPr>
      <w:r w:rsidRPr="007A4ED3">
        <w:rPr>
          <w:u w:val="single"/>
        </w:rPr>
        <w:t>Обов'язки потерпілого</w:t>
      </w:r>
      <w:r>
        <w:rPr>
          <w:u w:val="single"/>
        </w:rPr>
        <w:t>:</w:t>
      </w:r>
    </w:p>
    <w:p w:rsidR="007A4ED3" w:rsidRPr="007A4ED3" w:rsidRDefault="007A4ED3" w:rsidP="00EF4FF8">
      <w:pPr>
        <w:pStyle w:val="a6"/>
        <w:numPr>
          <w:ilvl w:val="0"/>
          <w:numId w:val="4"/>
        </w:numPr>
        <w:spacing w:after="0"/>
      </w:pPr>
      <w:r w:rsidRPr="007A4ED3">
        <w:t xml:space="preserve">прибути за викликом до слідчого, прокурора, слідчого судді, суду, а у випадку неможливості своєчасного прибуття — завчасно повідомити про це, а також </w:t>
      </w:r>
      <w:proofErr w:type="gramStart"/>
      <w:r w:rsidRPr="007A4ED3">
        <w:t>про</w:t>
      </w:r>
      <w:proofErr w:type="gramEnd"/>
      <w:r w:rsidRPr="007A4ED3">
        <w:t xml:space="preserve"> причини неможливості прибуття;</w:t>
      </w:r>
    </w:p>
    <w:p w:rsidR="007A4ED3" w:rsidRPr="007A4ED3" w:rsidRDefault="007A4ED3" w:rsidP="00EF4FF8">
      <w:pPr>
        <w:pStyle w:val="a6"/>
        <w:numPr>
          <w:ilvl w:val="0"/>
          <w:numId w:val="4"/>
        </w:numPr>
        <w:spacing w:after="0"/>
      </w:pPr>
      <w:r w:rsidRPr="007A4ED3">
        <w:t>не перешкоджати встановленню обставин вчинення кримінального правопорушення;</w:t>
      </w:r>
    </w:p>
    <w:p w:rsidR="007A4ED3" w:rsidRPr="007A4ED3" w:rsidRDefault="007A4ED3" w:rsidP="00EF4FF8">
      <w:pPr>
        <w:pStyle w:val="a6"/>
        <w:numPr>
          <w:ilvl w:val="0"/>
          <w:numId w:val="4"/>
        </w:numPr>
        <w:spacing w:after="0"/>
      </w:pPr>
      <w:r w:rsidRPr="007A4ED3">
        <w:t>не розголошувати без дозволу слідчого, прокурора, суду відомості, які стали йому відомі у зв'язку з участю у кримінальному провадженні і які становлять охоронювану законом таємницю.</w:t>
      </w:r>
    </w:p>
    <w:p w:rsidR="007A4ED3" w:rsidRDefault="007A4ED3" w:rsidP="00EF4FF8">
      <w:pPr>
        <w:spacing w:after="0"/>
        <w:ind w:firstLine="360"/>
      </w:pPr>
    </w:p>
    <w:p w:rsidR="007A4ED3" w:rsidRDefault="007A4ED3" w:rsidP="00EF4FF8">
      <w:pPr>
        <w:spacing w:after="0"/>
        <w:ind w:firstLine="360"/>
      </w:pPr>
    </w:p>
    <w:p w:rsidR="00EF4FF8" w:rsidRPr="00EF4FF8" w:rsidRDefault="007A4ED3" w:rsidP="00EF4FF8">
      <w:pPr>
        <w:spacing w:after="0"/>
      </w:pPr>
      <w:r w:rsidRPr="00EF4FF8">
        <w:t xml:space="preserve">15. </w:t>
      </w:r>
      <w:proofErr w:type="gramStart"/>
      <w:r w:rsidR="00EF4FF8" w:rsidRPr="00EF4FF8">
        <w:t>Св</w:t>
      </w:r>
      <w:proofErr w:type="gramEnd"/>
      <w:r w:rsidR="00EF4FF8" w:rsidRPr="00EF4FF8">
        <w:t xml:space="preserve">ідком, відповідно до закону (стаття 68 Кримінально-процесуального кодексу України, далі – КПК) є будь-яка особа, стосовно якої є дані, що їй відомі обставини кримінальної справи. Стає особа </w:t>
      </w:r>
      <w:proofErr w:type="gramStart"/>
      <w:r w:rsidR="00EF4FF8" w:rsidRPr="00EF4FF8">
        <w:t>св</w:t>
      </w:r>
      <w:proofErr w:type="gramEnd"/>
      <w:r w:rsidR="00EF4FF8" w:rsidRPr="00EF4FF8">
        <w:t>ідком з моменту її виклику до органу розслідування, прокурора, суду. </w:t>
      </w:r>
    </w:p>
    <w:p w:rsidR="007A4ED3" w:rsidRPr="00EF4FF8" w:rsidRDefault="007A4ED3" w:rsidP="00EF4FF8">
      <w:pPr>
        <w:spacing w:after="0"/>
        <w:rPr>
          <w:u w:val="single"/>
        </w:rPr>
      </w:pPr>
      <w:proofErr w:type="gramStart"/>
      <w:r w:rsidRPr="00EF4FF8">
        <w:rPr>
          <w:u w:val="single"/>
        </w:rPr>
        <w:t>Св</w:t>
      </w:r>
      <w:proofErr w:type="gramEnd"/>
      <w:r w:rsidRPr="00EF4FF8">
        <w:rPr>
          <w:u w:val="single"/>
        </w:rPr>
        <w:t>ідок має право:</w:t>
      </w:r>
    </w:p>
    <w:p w:rsidR="007A4ED3" w:rsidRPr="00EF4FF8" w:rsidRDefault="007A4ED3" w:rsidP="00EF4FF8">
      <w:pPr>
        <w:spacing w:after="0"/>
      </w:pPr>
      <w:r w:rsidRPr="00EF4FF8">
        <w:t>1) знати, у зв'язку з чим і в якому кримінальному провадженні він допитується;</w:t>
      </w:r>
    </w:p>
    <w:p w:rsidR="007A4ED3" w:rsidRPr="00EF4FF8" w:rsidRDefault="007A4ED3" w:rsidP="00EF4FF8">
      <w:pPr>
        <w:spacing w:after="0"/>
      </w:pPr>
      <w:r w:rsidRPr="00EF4FF8">
        <w:t xml:space="preserve">2) користуватися </w:t>
      </w:r>
      <w:proofErr w:type="gramStart"/>
      <w:r w:rsidRPr="00EF4FF8">
        <w:t>п</w:t>
      </w:r>
      <w:proofErr w:type="gramEnd"/>
      <w:r w:rsidRPr="00EF4FF8">
        <w:t>ід час давання показань та участі у проведенні інших процесуальних дій правовою допомогою адвоката, повноваження якого підтверджуються згідно з положеннями статті 50 Кримінального процесуального кодексу України;</w:t>
      </w:r>
    </w:p>
    <w:p w:rsidR="007A4ED3" w:rsidRPr="00EF4FF8" w:rsidRDefault="007A4ED3" w:rsidP="00EF4FF8">
      <w:pPr>
        <w:spacing w:after="0"/>
      </w:pPr>
      <w:r w:rsidRPr="00EF4FF8">
        <w:t xml:space="preserve">3) відмовитися давати показання щодо себе, близьких родичів та членів своєї сім'ї, що можуть стати </w:t>
      </w:r>
      <w:proofErr w:type="gramStart"/>
      <w:r w:rsidRPr="00EF4FF8">
        <w:t>п</w:t>
      </w:r>
      <w:proofErr w:type="gramEnd"/>
      <w:r w:rsidRPr="00EF4FF8">
        <w:t>ідставою для підозри, обвинувачення у вчиненні ним, близькими родичами чи членами його сім'ї кримінального правопорушення, а також показання щодо відомостей, які згідно з положеннями статті 65 КПК не підлягають розголошенню;</w:t>
      </w:r>
    </w:p>
    <w:p w:rsidR="007A4ED3" w:rsidRPr="00EF4FF8" w:rsidRDefault="007A4ED3" w:rsidP="00EF4FF8">
      <w:pPr>
        <w:spacing w:after="0"/>
      </w:pPr>
      <w:r w:rsidRPr="00EF4FF8">
        <w:t xml:space="preserve">4) давати показання </w:t>
      </w:r>
      <w:proofErr w:type="gramStart"/>
      <w:r w:rsidRPr="00EF4FF8">
        <w:t>р</w:t>
      </w:r>
      <w:proofErr w:type="gramEnd"/>
      <w:r w:rsidRPr="00EF4FF8">
        <w:t>ідною або іншою мовою, якою він вільно володіє, і користуватися допомогою перекладача;</w:t>
      </w:r>
    </w:p>
    <w:p w:rsidR="007A4ED3" w:rsidRPr="00EF4FF8" w:rsidRDefault="007A4ED3" w:rsidP="00EF4FF8">
      <w:pPr>
        <w:spacing w:after="0"/>
      </w:pPr>
      <w:r w:rsidRPr="00EF4FF8">
        <w:t xml:space="preserve">5) користуватися нотатками і документами при даванні показань </w:t>
      </w:r>
      <w:proofErr w:type="gramStart"/>
      <w:r w:rsidRPr="00EF4FF8">
        <w:t>у</w:t>
      </w:r>
      <w:proofErr w:type="gramEnd"/>
      <w:r w:rsidRPr="00EF4FF8">
        <w:t xml:space="preserve"> тих випадках, коли показання стосуються будь-яких розрахунків та інших відомостей, які йому важко тримати в пам'яті;</w:t>
      </w:r>
    </w:p>
    <w:p w:rsidR="007A4ED3" w:rsidRPr="00EF4FF8" w:rsidRDefault="007A4ED3" w:rsidP="00EF4FF8">
      <w:pPr>
        <w:spacing w:after="0"/>
      </w:pPr>
      <w:r w:rsidRPr="00EF4FF8">
        <w:t>6) на відшкодування витрат, пов'язаних з викликом для давання показань;</w:t>
      </w:r>
    </w:p>
    <w:p w:rsidR="007A4ED3" w:rsidRPr="00EF4FF8" w:rsidRDefault="007A4ED3" w:rsidP="00EF4FF8">
      <w:pPr>
        <w:spacing w:after="0"/>
      </w:pPr>
      <w:r w:rsidRPr="00EF4FF8">
        <w:t>7) ознайомлюватися з протоколом допиту та заявляти клопотання про внесення до нього змін, доповнень і зауважень, а також власноручно робити такі доповнення і зауваження;</w:t>
      </w:r>
    </w:p>
    <w:p w:rsidR="007A4ED3" w:rsidRPr="00EF4FF8" w:rsidRDefault="007A4ED3" w:rsidP="00EF4FF8">
      <w:pPr>
        <w:spacing w:after="0"/>
      </w:pPr>
      <w:r w:rsidRPr="00EF4FF8">
        <w:t>8) заявляти клопотання про забезпечення безпеки у випадках, передбачених законом;</w:t>
      </w:r>
    </w:p>
    <w:p w:rsidR="007A4ED3" w:rsidRPr="00EF4FF8" w:rsidRDefault="007A4ED3" w:rsidP="00EF4FF8">
      <w:pPr>
        <w:spacing w:after="0"/>
      </w:pPr>
      <w:r w:rsidRPr="00EF4FF8">
        <w:t>9) заявляти відвід перекладачу.</w:t>
      </w:r>
    </w:p>
    <w:p w:rsidR="00EF4FF8" w:rsidRPr="00EF4FF8" w:rsidRDefault="00EF4FF8" w:rsidP="00EF4FF8">
      <w:pPr>
        <w:spacing w:after="0"/>
        <w:rPr>
          <w:u w:val="single"/>
        </w:rPr>
      </w:pPr>
      <w:proofErr w:type="gramStart"/>
      <w:r w:rsidRPr="00EF4FF8">
        <w:rPr>
          <w:u w:val="single"/>
        </w:rPr>
        <w:t>Св</w:t>
      </w:r>
      <w:proofErr w:type="gramEnd"/>
      <w:r w:rsidRPr="00EF4FF8">
        <w:rPr>
          <w:u w:val="single"/>
        </w:rPr>
        <w:t>ідок зобов'язаний:</w:t>
      </w:r>
    </w:p>
    <w:p w:rsidR="00EF4FF8" w:rsidRPr="00EF4FF8" w:rsidRDefault="00EF4FF8" w:rsidP="00EF4FF8">
      <w:pPr>
        <w:spacing w:after="0"/>
      </w:pPr>
      <w:r w:rsidRPr="00EF4FF8">
        <w:t xml:space="preserve">1) прибути за викликом </w:t>
      </w:r>
      <w:proofErr w:type="gramStart"/>
      <w:r w:rsidRPr="00EF4FF8">
        <w:t>до</w:t>
      </w:r>
      <w:proofErr w:type="gramEnd"/>
      <w:r w:rsidRPr="00EF4FF8">
        <w:t xml:space="preserve"> суду;</w:t>
      </w:r>
    </w:p>
    <w:p w:rsidR="00EF4FF8" w:rsidRPr="00EF4FF8" w:rsidRDefault="00EF4FF8" w:rsidP="00EF4FF8">
      <w:pPr>
        <w:spacing w:after="0"/>
      </w:pPr>
      <w:r w:rsidRPr="00EF4FF8">
        <w:t xml:space="preserve">2) давати правдиві показання </w:t>
      </w:r>
      <w:proofErr w:type="gramStart"/>
      <w:r w:rsidRPr="00EF4FF8">
        <w:t>п</w:t>
      </w:r>
      <w:proofErr w:type="gramEnd"/>
      <w:r w:rsidRPr="00EF4FF8">
        <w:t>ід час судового розгляду;</w:t>
      </w:r>
    </w:p>
    <w:p w:rsidR="00EF4FF8" w:rsidRDefault="00EF4FF8" w:rsidP="00EF4FF8">
      <w:pPr>
        <w:spacing w:after="0"/>
      </w:pPr>
      <w:r w:rsidRPr="00EF4FF8">
        <w:t xml:space="preserve">3) не розголошувати без дозволу суду відомості, які безпосередньо стосуються суті кримінального провадження та процесуальних дій, що здійснюються (здійснювалися) </w:t>
      </w:r>
      <w:proofErr w:type="gramStart"/>
      <w:r w:rsidRPr="00EF4FF8">
        <w:t>п</w:t>
      </w:r>
      <w:proofErr w:type="gramEnd"/>
      <w:r w:rsidRPr="00EF4FF8">
        <w:t>ід час нього, і які стали відомі свідку у зв'язку з виконанням його обов'язків.</w:t>
      </w:r>
    </w:p>
    <w:p w:rsidR="00EF4FF8" w:rsidRPr="00EF4FF8" w:rsidRDefault="00EF4FF8" w:rsidP="00EF4FF8">
      <w:pPr>
        <w:spacing w:after="0"/>
        <w:ind w:firstLine="360"/>
      </w:pPr>
    </w:p>
    <w:p w:rsidR="007A4ED3" w:rsidRPr="00EF4FF8" w:rsidRDefault="00EF4FF8" w:rsidP="00EF4FF8">
      <w:pPr>
        <w:spacing w:after="0"/>
        <w:ind w:firstLine="360"/>
      </w:pPr>
      <w:r w:rsidRPr="00EF4FF8">
        <w:t xml:space="preserve">16. </w:t>
      </w:r>
      <w:proofErr w:type="gramStart"/>
      <w:r w:rsidRPr="00EF4FF8">
        <w:t>П</w:t>
      </w:r>
      <w:proofErr w:type="gramEnd"/>
      <w:r w:rsidRPr="00EF4FF8">
        <w:t>ідозрюваний — особа, якій в порядку, передбаченому Кримінальним процесуальним кодексом України вручено повідомлення про підозру, або особа, яку затримано згідно чинного Кримінального процесуального законодавства.</w:t>
      </w:r>
    </w:p>
    <w:p w:rsidR="00EF4FF8" w:rsidRPr="00EF4FF8" w:rsidRDefault="00EF4FF8" w:rsidP="00EF4FF8">
      <w:pPr>
        <w:spacing w:after="0"/>
        <w:ind w:firstLine="360"/>
        <w:rPr>
          <w:u w:val="single"/>
        </w:rPr>
      </w:pPr>
      <w:proofErr w:type="gramStart"/>
      <w:r w:rsidRPr="00EF4FF8">
        <w:rPr>
          <w:u w:val="single"/>
        </w:rPr>
        <w:t>П</w:t>
      </w:r>
      <w:proofErr w:type="gramEnd"/>
      <w:r w:rsidRPr="00EF4FF8">
        <w:rPr>
          <w:u w:val="single"/>
        </w:rPr>
        <w:t>ідозрюваний має право: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знати, у вчиненні якого кримінального правопорушення його </w:t>
      </w:r>
      <w:proofErr w:type="gramStart"/>
      <w:r w:rsidRPr="00EF4FF8">
        <w:t>п</w:t>
      </w:r>
      <w:proofErr w:type="gramEnd"/>
      <w:r w:rsidRPr="00EF4FF8">
        <w:t>ідозрюють, обвинувачують;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бути </w:t>
      </w:r>
      <w:proofErr w:type="gramStart"/>
      <w:r w:rsidRPr="00EF4FF8">
        <w:t>ч</w:t>
      </w:r>
      <w:proofErr w:type="gramEnd"/>
      <w:r w:rsidRPr="00EF4FF8">
        <w:t>ітко і своєчасно повідомленим про свої права, а також отримати їх роз'яснення;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на першу вимогу мати захисника і побачення з ним до першого допиту з дотриманням умов, що забезпечують конфіденційність спілкування, а також </w:t>
      </w:r>
      <w:proofErr w:type="gramStart"/>
      <w:r w:rsidRPr="00EF4FF8">
        <w:t>п</w:t>
      </w:r>
      <w:proofErr w:type="gramEnd"/>
      <w:r w:rsidRPr="00EF4FF8">
        <w:t>ісля першого допиту — мати такі побачення без обмеження їх кількості й тривалості; на участь захисника у проведенні допиту та інших процесуальних дій;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на відмову від захисника в будь-який момент кримінального провадження;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на отримання правової допомоги захисника за рахунок держави;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не говорити нічого з приводу </w:t>
      </w:r>
      <w:proofErr w:type="gramStart"/>
      <w:r w:rsidRPr="00EF4FF8">
        <w:t>п</w:t>
      </w:r>
      <w:proofErr w:type="gramEnd"/>
      <w:r w:rsidRPr="00EF4FF8">
        <w:t>ідозри проти нього, обвинувачення або у будь-який момент відмовитися відповідати на запитання;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давати пояснення, показання з приводу </w:t>
      </w:r>
      <w:proofErr w:type="gramStart"/>
      <w:r w:rsidRPr="00EF4FF8">
        <w:t>п</w:t>
      </w:r>
      <w:proofErr w:type="gramEnd"/>
      <w:r w:rsidRPr="00EF4FF8">
        <w:t>ідозри, обвинувачення чи в будь-який момент відмовитися їх давати;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вимагати </w:t>
      </w:r>
      <w:proofErr w:type="gramStart"/>
      <w:r w:rsidRPr="00EF4FF8">
        <w:t>перев</w:t>
      </w:r>
      <w:proofErr w:type="gramEnd"/>
      <w:r w:rsidRPr="00EF4FF8">
        <w:t>ірки обґрунтованості затримання;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у разі затримання або застосування запобіжного заходу у вигляді тримання </w:t>
      </w:r>
      <w:proofErr w:type="gramStart"/>
      <w:r w:rsidRPr="00EF4FF8">
        <w:t>п</w:t>
      </w:r>
      <w:proofErr w:type="gramEnd"/>
      <w:r w:rsidRPr="00EF4FF8">
        <w:t>ід вартою — на негайне повідомлення членів сім'ї, близьких родичів чи інших осіб про затримання і місце свого перебування;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збирати і подавати слідчому, прокурору, слідчому судді докази;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брати участь у проведенні процесуальних дій;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proofErr w:type="gramStart"/>
      <w:r w:rsidRPr="00EF4FF8">
        <w:lastRenderedPageBreak/>
        <w:t>п</w:t>
      </w:r>
      <w:proofErr w:type="gramEnd"/>
      <w:r w:rsidRPr="00EF4FF8">
        <w:t>ід час проведення процесуальних дій ставити запитання, подавати свої зауваження та заперечення щодо порядку проведення дій, які заносяться до протоколу;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застосовувати з додержанням вимог цього Кодексу технічні засоби при проведенні процесуальних дій, в яких він бере участь. Слідчий, прокурор, слідчий суддя, суд мають право заборонити застосовування технічних засобів при проведенні окремої процесуальної дії </w:t>
      </w:r>
      <w:proofErr w:type="gramStart"/>
      <w:r w:rsidRPr="00EF4FF8">
        <w:t>чи на</w:t>
      </w:r>
      <w:proofErr w:type="gramEnd"/>
      <w:r w:rsidRPr="00EF4FF8">
        <w:t xml:space="preserve"> певній стадії кримінального провадження з метою нерозголошення відомостей, які містять таємницю, що охороняється законом, чи стосуються інтимного життя особи, про що виноситься (постановляється) вмотивована постанова (ухвала);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заявляти клопотання про проведення процесуальних дій, про забезпечення безпеки щодо себе, членів своєї сім'ї, близьких родичі</w:t>
      </w:r>
      <w:proofErr w:type="gramStart"/>
      <w:r w:rsidRPr="00EF4FF8">
        <w:t>в</w:t>
      </w:r>
      <w:proofErr w:type="gramEnd"/>
      <w:r w:rsidRPr="00EF4FF8">
        <w:t>, майна, житла тощо;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заявляти відводи;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ознайомлюватися з матеріалами досудового розслідування;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>одержувати копії процесуальних документі</w:t>
      </w:r>
      <w:proofErr w:type="gramStart"/>
      <w:r w:rsidRPr="00EF4FF8">
        <w:t>в</w:t>
      </w:r>
      <w:proofErr w:type="gramEnd"/>
      <w:r w:rsidRPr="00EF4FF8">
        <w:t xml:space="preserve"> та письмові повідомлення;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оскаржувати </w:t>
      </w:r>
      <w:proofErr w:type="gramStart"/>
      <w:r w:rsidRPr="00EF4FF8">
        <w:t>р</w:t>
      </w:r>
      <w:proofErr w:type="gramEnd"/>
      <w:r w:rsidRPr="00EF4FF8">
        <w:t>ішення, дії та бездіяльність слідчого, прокурора, слідчого судді в порядку;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вимагати відшкодування шкоди, завданої незаконними </w:t>
      </w:r>
      <w:proofErr w:type="gramStart"/>
      <w:r w:rsidRPr="00EF4FF8">
        <w:t>р</w:t>
      </w:r>
      <w:proofErr w:type="gramEnd"/>
      <w:r w:rsidRPr="00EF4FF8">
        <w:t>ішеннями, діями чи бездіяльністю органу, що здійснює оперативно-розшукову діяльність, досудове розслідування, прокуратури або суду, в порядку, визначеному законом, а також відновлення репутації, якщо підозра, обвинувачення не підтвердилися;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r w:rsidRPr="00EF4FF8">
        <w:t xml:space="preserve">користуватися </w:t>
      </w:r>
      <w:proofErr w:type="gramStart"/>
      <w:r w:rsidRPr="00EF4FF8">
        <w:t>р</w:t>
      </w:r>
      <w:proofErr w:type="gramEnd"/>
      <w:r w:rsidRPr="00EF4FF8">
        <w:t>ідною мовою, отримувати копії процесуальних документів рідною або іншою мовою, якою він володіє, та в разі необхідності користуватися послугами перекладача за рахунок держави;</w:t>
      </w:r>
    </w:p>
    <w:p w:rsidR="00EF4FF8" w:rsidRPr="00EF4FF8" w:rsidRDefault="00EF4FF8" w:rsidP="00EF4FF8">
      <w:pPr>
        <w:pStyle w:val="a6"/>
        <w:numPr>
          <w:ilvl w:val="0"/>
          <w:numId w:val="9"/>
        </w:numPr>
        <w:spacing w:after="0"/>
      </w:pPr>
      <w:proofErr w:type="gramStart"/>
      <w:r w:rsidRPr="00EF4FF8">
        <w:t>п</w:t>
      </w:r>
      <w:proofErr w:type="gramEnd"/>
      <w:r w:rsidRPr="00EF4FF8">
        <w:t>ідозрюваний, який є іноземцем і тримається під вартою, має право на зустріч з представником дипломатичної чи консульської установи своєї держави, яку йому зобов'язана забезпечити адміністрація місця ув'язнення.</w:t>
      </w:r>
    </w:p>
    <w:p w:rsidR="00EF4FF8" w:rsidRPr="00EF4FF8" w:rsidRDefault="00EF4FF8" w:rsidP="00EF4FF8">
      <w:pPr>
        <w:spacing w:after="0"/>
        <w:ind w:firstLine="360"/>
        <w:rPr>
          <w:u w:val="single"/>
        </w:rPr>
      </w:pPr>
      <w:proofErr w:type="gramStart"/>
      <w:r w:rsidRPr="00EF4FF8">
        <w:rPr>
          <w:u w:val="single"/>
        </w:rPr>
        <w:t>П</w:t>
      </w:r>
      <w:proofErr w:type="gramEnd"/>
      <w:r w:rsidRPr="00EF4FF8">
        <w:rPr>
          <w:u w:val="single"/>
        </w:rPr>
        <w:t>ідозрюваний зобов'язаний:</w:t>
      </w:r>
    </w:p>
    <w:p w:rsidR="00EF4FF8" w:rsidRPr="00EF4FF8" w:rsidRDefault="00EF4FF8" w:rsidP="00EF4FF8">
      <w:pPr>
        <w:pStyle w:val="a6"/>
        <w:numPr>
          <w:ilvl w:val="0"/>
          <w:numId w:val="8"/>
        </w:numPr>
        <w:spacing w:after="0"/>
      </w:pPr>
      <w:r w:rsidRPr="00EF4FF8">
        <w:t xml:space="preserve">прибути за викликом до слідчого, прокурора, слідчого судді, суду, а в разі неможливості прибути за викликом у призначений строк — заздалегідь повідомити про це зазначених </w:t>
      </w:r>
      <w:proofErr w:type="gramStart"/>
      <w:r w:rsidRPr="00EF4FF8">
        <w:t>осіб</w:t>
      </w:r>
      <w:proofErr w:type="gramEnd"/>
      <w:r w:rsidRPr="00EF4FF8">
        <w:t>;</w:t>
      </w:r>
    </w:p>
    <w:p w:rsidR="00EF4FF8" w:rsidRPr="00EF4FF8" w:rsidRDefault="00EF4FF8" w:rsidP="00EF4FF8">
      <w:pPr>
        <w:pStyle w:val="a6"/>
        <w:numPr>
          <w:ilvl w:val="0"/>
          <w:numId w:val="8"/>
        </w:numPr>
        <w:spacing w:after="0"/>
      </w:pPr>
      <w:r w:rsidRPr="00EF4FF8">
        <w:t xml:space="preserve">виконувати обов'язки, покладені на нього </w:t>
      </w:r>
      <w:proofErr w:type="gramStart"/>
      <w:r w:rsidRPr="00EF4FF8">
        <w:t>р</w:t>
      </w:r>
      <w:proofErr w:type="gramEnd"/>
      <w:r w:rsidRPr="00EF4FF8">
        <w:t>ішенням про застосування заходів забезпечення кримінального провадження;</w:t>
      </w:r>
    </w:p>
    <w:p w:rsidR="00EF4FF8" w:rsidRPr="00EF4FF8" w:rsidRDefault="00EF4FF8" w:rsidP="00EF4FF8">
      <w:pPr>
        <w:pStyle w:val="a6"/>
        <w:numPr>
          <w:ilvl w:val="0"/>
          <w:numId w:val="8"/>
        </w:numPr>
        <w:spacing w:after="0"/>
      </w:pPr>
      <w:proofErr w:type="gramStart"/>
      <w:r w:rsidRPr="00EF4FF8">
        <w:t>п</w:t>
      </w:r>
      <w:proofErr w:type="gramEnd"/>
      <w:r w:rsidRPr="00EF4FF8">
        <w:t>ідкорятися законним вимогам та розпорядженням слідчого, прокурора, слідчого судді, суд</w:t>
      </w:r>
    </w:p>
    <w:p w:rsidR="00EF4FF8" w:rsidRPr="000D62B5" w:rsidRDefault="00EF4FF8" w:rsidP="000D62B5">
      <w:pPr>
        <w:spacing w:after="0"/>
        <w:rPr>
          <w:lang w:val="uk-UA"/>
        </w:rPr>
      </w:pPr>
    </w:p>
    <w:p w:rsidR="00EF4FF8" w:rsidRPr="000D62B5" w:rsidRDefault="00EF4FF8" w:rsidP="00EF4FF8">
      <w:pPr>
        <w:spacing w:after="0"/>
        <w:ind w:firstLine="360"/>
        <w:rPr>
          <w:lang w:val="uk-UA"/>
        </w:rPr>
      </w:pPr>
      <w:r w:rsidRPr="000D62B5">
        <w:rPr>
          <w:lang w:val="uk-UA"/>
        </w:rPr>
        <w:t>17. Понятий — це фізична особа, яку залучають до участі у кримінальній справі з метою засвідчення її підписом відповідності записів у протоколі виконаній процесуальній дії.</w:t>
      </w:r>
    </w:p>
    <w:p w:rsidR="00EF4FF8" w:rsidRPr="00EF4FF8" w:rsidRDefault="00EF4FF8" w:rsidP="00EF4FF8">
      <w:pPr>
        <w:spacing w:after="0"/>
        <w:ind w:firstLine="360"/>
        <w:rPr>
          <w:u w:val="single"/>
        </w:rPr>
      </w:pPr>
      <w:r w:rsidRPr="00EF4FF8">
        <w:rPr>
          <w:u w:val="single"/>
        </w:rPr>
        <w:t>Понятий зобов'язаний:</w:t>
      </w:r>
    </w:p>
    <w:p w:rsidR="00EF4FF8" w:rsidRDefault="00EF4FF8" w:rsidP="00EF4FF8">
      <w:pPr>
        <w:spacing w:after="0"/>
        <w:ind w:firstLine="360"/>
      </w:pPr>
      <w:r w:rsidRPr="00EF4FF8">
        <w:t xml:space="preserve">• бути присутнім </w:t>
      </w:r>
      <w:proofErr w:type="gramStart"/>
      <w:r w:rsidRPr="00EF4FF8">
        <w:t>п</w:t>
      </w:r>
      <w:proofErr w:type="gramEnd"/>
      <w:r w:rsidRPr="00EF4FF8">
        <w:t>ід час провадження процесуальної дії;</w:t>
      </w:r>
    </w:p>
    <w:p w:rsidR="00EF4FF8" w:rsidRDefault="00EF4FF8" w:rsidP="00EF4FF8">
      <w:pPr>
        <w:spacing w:after="0"/>
        <w:ind w:firstLine="360"/>
      </w:pPr>
      <w:r w:rsidRPr="00EF4FF8">
        <w:t xml:space="preserve">• </w:t>
      </w:r>
      <w:proofErr w:type="gramStart"/>
      <w:r w:rsidRPr="00EF4FF8">
        <w:t>п</w:t>
      </w:r>
      <w:proofErr w:type="gramEnd"/>
      <w:r w:rsidRPr="00EF4FF8">
        <w:t>ісля її закінчення засвідчити своїм підписом відповідність записів у протоколі виконаній дії;</w:t>
      </w:r>
    </w:p>
    <w:p w:rsidR="00EF4FF8" w:rsidRDefault="00EF4FF8" w:rsidP="00EF4FF8">
      <w:pPr>
        <w:spacing w:after="0"/>
        <w:ind w:firstLine="360"/>
      </w:pPr>
      <w:r w:rsidRPr="00EF4FF8">
        <w:t>• не розголошувати без дозволу слідчого чи дізнавача дані, які стали відомі йому у зв'язку з виконанням своїх обов'язкі</w:t>
      </w:r>
      <w:proofErr w:type="gramStart"/>
      <w:r w:rsidRPr="00EF4FF8">
        <w:t>в</w:t>
      </w:r>
      <w:proofErr w:type="gramEnd"/>
      <w:r w:rsidRPr="00EF4FF8">
        <w:t>.</w:t>
      </w:r>
    </w:p>
    <w:p w:rsidR="00EF4FF8" w:rsidRPr="00EF4FF8" w:rsidRDefault="00EF4FF8" w:rsidP="00EF4FF8">
      <w:pPr>
        <w:spacing w:after="0"/>
        <w:ind w:firstLine="360"/>
        <w:rPr>
          <w:u w:val="single"/>
        </w:rPr>
      </w:pPr>
      <w:r w:rsidRPr="00EF4FF8">
        <w:rPr>
          <w:u w:val="single"/>
        </w:rPr>
        <w:t>Понятий має право:</w:t>
      </w:r>
    </w:p>
    <w:p w:rsidR="00EF4FF8" w:rsidRDefault="00EF4FF8" w:rsidP="00EF4FF8">
      <w:pPr>
        <w:spacing w:after="0"/>
        <w:ind w:firstLine="360"/>
      </w:pPr>
      <w:r w:rsidRPr="00EF4FF8">
        <w:t xml:space="preserve">• робити зауваження і заяви з приводу проваджуваної з його участю процесуальної дії, які </w:t>
      </w:r>
      <w:proofErr w:type="gramStart"/>
      <w:r w:rsidRPr="00EF4FF8">
        <w:t>п</w:t>
      </w:r>
      <w:proofErr w:type="gramEnd"/>
      <w:r w:rsidRPr="00EF4FF8">
        <w:t>ідлягають обов'язковому занесенню до протоколу;</w:t>
      </w:r>
      <w:r>
        <w:t xml:space="preserve"> </w:t>
      </w:r>
    </w:p>
    <w:p w:rsidR="00EF4FF8" w:rsidRDefault="00EF4FF8" w:rsidP="00EF4FF8">
      <w:pPr>
        <w:spacing w:after="0"/>
        <w:ind w:firstLine="360"/>
      </w:pPr>
      <w:r w:rsidRPr="00EF4FF8">
        <w:t>• ознайомлюватися з протоколом процесуальної дії;</w:t>
      </w:r>
    </w:p>
    <w:p w:rsidR="00EF4FF8" w:rsidRDefault="00EF4FF8" w:rsidP="00EF4FF8">
      <w:pPr>
        <w:spacing w:after="0"/>
        <w:ind w:firstLine="360"/>
      </w:pPr>
      <w:r w:rsidRPr="00EF4FF8">
        <w:t xml:space="preserve">• </w:t>
      </w:r>
      <w:proofErr w:type="gramStart"/>
      <w:r w:rsidRPr="00EF4FF8">
        <w:t>на</w:t>
      </w:r>
      <w:proofErr w:type="gramEnd"/>
      <w:r w:rsidRPr="00EF4FF8">
        <w:t xml:space="preserve"> відшкодування витрат, пов'язаних з участю у кримінальній справі;</w:t>
      </w:r>
    </w:p>
    <w:p w:rsidR="00EF4FF8" w:rsidRPr="00EF4FF8" w:rsidRDefault="00EF4FF8" w:rsidP="00EF4FF8">
      <w:pPr>
        <w:spacing w:after="0"/>
        <w:ind w:firstLine="360"/>
      </w:pPr>
      <w:r w:rsidRPr="00EF4FF8">
        <w:t xml:space="preserve">• за наявності відповідних </w:t>
      </w:r>
      <w:proofErr w:type="gramStart"/>
      <w:r w:rsidRPr="00EF4FF8">
        <w:t>п</w:t>
      </w:r>
      <w:proofErr w:type="gramEnd"/>
      <w:r w:rsidRPr="00EF4FF8">
        <w:t>ідстав — на забезпечення безпеки.</w:t>
      </w:r>
    </w:p>
    <w:sectPr w:rsidR="00EF4FF8" w:rsidRPr="00EF4FF8" w:rsidSect="00881098">
      <w:pgSz w:w="11906" w:h="16838"/>
      <w:pgMar w:top="360" w:right="476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21AA"/>
    <w:multiLevelType w:val="multilevel"/>
    <w:tmpl w:val="F01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20B2E"/>
    <w:multiLevelType w:val="hybridMultilevel"/>
    <w:tmpl w:val="1D54A0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E02E65"/>
    <w:multiLevelType w:val="hybridMultilevel"/>
    <w:tmpl w:val="3F6EE8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05546"/>
    <w:multiLevelType w:val="multilevel"/>
    <w:tmpl w:val="6A2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9864FC"/>
    <w:multiLevelType w:val="hybridMultilevel"/>
    <w:tmpl w:val="CB3AEA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C1ABE"/>
    <w:multiLevelType w:val="hybridMultilevel"/>
    <w:tmpl w:val="404031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5928D9"/>
    <w:multiLevelType w:val="multilevel"/>
    <w:tmpl w:val="A63A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1A5709"/>
    <w:multiLevelType w:val="multilevel"/>
    <w:tmpl w:val="8F0C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2D5D1F"/>
    <w:multiLevelType w:val="multilevel"/>
    <w:tmpl w:val="6A52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>
    <w:useFELayout/>
  </w:compat>
  <w:rsids>
    <w:rsidRoot w:val="00661400"/>
    <w:rsid w:val="000D62B5"/>
    <w:rsid w:val="00661400"/>
    <w:rsid w:val="007A4ED3"/>
    <w:rsid w:val="007D1AB1"/>
    <w:rsid w:val="00881098"/>
    <w:rsid w:val="00E309D2"/>
    <w:rsid w:val="00EF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A4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61400"/>
  </w:style>
  <w:style w:type="character" w:styleId="a4">
    <w:name w:val="Hyperlink"/>
    <w:basedOn w:val="a0"/>
    <w:uiPriority w:val="99"/>
    <w:unhideWhenUsed/>
    <w:rsid w:val="00661400"/>
    <w:rPr>
      <w:color w:val="0000FF"/>
      <w:u w:val="single"/>
    </w:rPr>
  </w:style>
  <w:style w:type="character" w:styleId="a5">
    <w:name w:val="Strong"/>
    <w:basedOn w:val="a0"/>
    <w:uiPriority w:val="22"/>
    <w:qFormat/>
    <w:rsid w:val="007A4ED3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A4E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A4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7A4ED3"/>
  </w:style>
  <w:style w:type="character" w:customStyle="1" w:styleId="mw-editsection">
    <w:name w:val="mw-editsection"/>
    <w:basedOn w:val="a0"/>
    <w:rsid w:val="007A4ED3"/>
  </w:style>
  <w:style w:type="character" w:customStyle="1" w:styleId="mw-editsection-bracket">
    <w:name w:val="mw-editsection-bracket"/>
    <w:basedOn w:val="a0"/>
    <w:rsid w:val="007A4ED3"/>
  </w:style>
  <w:style w:type="character" w:customStyle="1" w:styleId="mw-editsection-divider">
    <w:name w:val="mw-editsection-divider"/>
    <w:basedOn w:val="a0"/>
    <w:rsid w:val="007A4ED3"/>
  </w:style>
  <w:style w:type="paragraph" w:styleId="a6">
    <w:name w:val="List Paragraph"/>
    <w:basedOn w:val="a"/>
    <w:uiPriority w:val="34"/>
    <w:qFormat/>
    <w:rsid w:val="007A4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4</cp:revision>
  <dcterms:created xsi:type="dcterms:W3CDTF">2014-04-27T18:27:00Z</dcterms:created>
  <dcterms:modified xsi:type="dcterms:W3CDTF">2014-04-27T20:05:00Z</dcterms:modified>
</cp:coreProperties>
</file>