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1F84C1" w14:textId="77777777" w:rsidR="00343030" w:rsidRDefault="00000000">
      <w:pPr>
        <w:pStyle w:val="Title"/>
      </w:pPr>
      <w:r>
        <w:t>Red Teaming – Theoretical Knowledge Report</w:t>
      </w:r>
    </w:p>
    <w:p w14:paraId="4034BC80" w14:textId="77777777" w:rsidR="00343030" w:rsidRDefault="00000000">
      <w:pPr>
        <w:pStyle w:val="Heading1"/>
      </w:pPr>
      <w:r>
        <w:t>1. Advanced Threat Analysis</w:t>
      </w:r>
    </w:p>
    <w:p w14:paraId="423052EA" w14:textId="77777777" w:rsidR="00343030" w:rsidRDefault="00000000">
      <w:pPr>
        <w:pStyle w:val="Heading2"/>
      </w:pPr>
      <w:r>
        <w:t>Core Concepts</w:t>
      </w:r>
    </w:p>
    <w:p w14:paraId="52E9C1BC" w14:textId="77777777" w:rsidR="00343030" w:rsidRDefault="00000000">
      <w:r>
        <w:t>• Threat Modeling: Master STRIDE (Spoofing, Tampering, Repudiation, Information Disclosure, Denial of Service, Elevation of Privilege) to identify threats by mapping assets, entry points, and trust boundaries.</w:t>
      </w:r>
      <w:r>
        <w:br/>
        <w:t xml:space="preserve">   Example: Apply STRIDE to a web application to identify spoofing risks in user authentication.</w:t>
      </w:r>
    </w:p>
    <w:p w14:paraId="6CBA2442" w14:textId="77777777" w:rsidR="00343030" w:rsidRDefault="00000000">
      <w:r>
        <w:t>• MITRE ATT&amp;CK Framework: Understand tactics (e.g., Initial Access, Execution) and techniques (e.g., T1059 - Command and Scripting Interpreter) to analyze adversary behaviors and align with defensive measures.</w:t>
      </w:r>
      <w:r>
        <w:br/>
        <w:t xml:space="preserve">   Example: Map a phishing attack to T1566.</w:t>
      </w:r>
    </w:p>
    <w:p w14:paraId="3C0DE573" w14:textId="77777777" w:rsidR="00343030" w:rsidRDefault="00000000">
      <w:r>
        <w:t>• Advanced Attack Vectors: Study Advanced Persistent Threats (APTs) for long-term targeted attacks, supply chain attacks for third-party compromise, and zero-day exploits for undisclosed vulnerabilities.</w:t>
      </w:r>
      <w:r>
        <w:br/>
        <w:t xml:space="preserve">   Example: Analyze the SolarWinds attack for supply chain tactics.</w:t>
      </w:r>
    </w:p>
    <w:p w14:paraId="7C282EC9" w14:textId="77777777" w:rsidR="00343030" w:rsidRDefault="00000000">
      <w:pPr>
        <w:pStyle w:val="Heading2"/>
      </w:pPr>
      <w:r>
        <w:t>Key Objectives</w:t>
      </w:r>
    </w:p>
    <w:p w14:paraId="2C97D633" w14:textId="77777777" w:rsidR="00343030" w:rsidRDefault="00000000">
      <w:r>
        <w:t>• Build skills to model threats.</w:t>
      </w:r>
      <w:r>
        <w:br/>
        <w:t>• Map attacks to MITRE ATT&amp;CK.</w:t>
      </w:r>
      <w:r>
        <w:br/>
        <w:t>• Understand sophisticated attack vectors for proactive defense.</w:t>
      </w:r>
    </w:p>
    <w:p w14:paraId="68940059" w14:textId="77777777" w:rsidR="00343030" w:rsidRDefault="00000000">
      <w:pPr>
        <w:pStyle w:val="Heading1"/>
      </w:pPr>
      <w:r>
        <w:t>2. Security Frameworks in Depth</w:t>
      </w:r>
    </w:p>
    <w:p w14:paraId="10DE4108" w14:textId="77777777" w:rsidR="00343030" w:rsidRDefault="00000000">
      <w:pPr>
        <w:pStyle w:val="Heading2"/>
      </w:pPr>
      <w:r>
        <w:t>Core Concepts</w:t>
      </w:r>
    </w:p>
    <w:p w14:paraId="39719C8F" w14:textId="77777777" w:rsidR="00343030" w:rsidRDefault="00000000">
      <w:r>
        <w:t>• NIST Cybersecurity Framework (CSF): Five functions – Identify, Protect, Detect, Respond, Recover.</w:t>
      </w:r>
      <w:r>
        <w:br/>
        <w:t xml:space="preserve">   Example: Use Identify to catalog critical assets in a mock organization.</w:t>
      </w:r>
    </w:p>
    <w:p w14:paraId="568FECD2" w14:textId="77777777" w:rsidR="00343030" w:rsidRDefault="00000000">
      <w:r>
        <w:t>• ISO 27001 Controls: 114 controls across 14 domains (e.g., A.12.4 - Logging and Monitoring, A.14.2 - Security in Development).</w:t>
      </w:r>
      <w:r>
        <w:br/>
        <w:t xml:space="preserve">   Example: Apply A.12.3 (Backup) to mitigate ransomware risks.</w:t>
      </w:r>
    </w:p>
    <w:p w14:paraId="6A7D0A14" w14:textId="77777777" w:rsidR="00343030" w:rsidRDefault="00000000">
      <w:r>
        <w:t>• Framework Application: Map controls to real-world scenarios, such as ransomware mitigation.</w:t>
      </w:r>
    </w:p>
    <w:p w14:paraId="59F8A0A4" w14:textId="77777777" w:rsidR="00343030" w:rsidRDefault="00000000">
      <w:pPr>
        <w:pStyle w:val="Heading2"/>
      </w:pPr>
      <w:r>
        <w:lastRenderedPageBreak/>
        <w:t>Key Objectives</w:t>
      </w:r>
    </w:p>
    <w:p w14:paraId="3237ABB0" w14:textId="77777777" w:rsidR="00343030" w:rsidRDefault="00000000">
      <w:r>
        <w:t>• Apply NIST CSF and ISO 27001 to design/evaluate cybersecurity programs.</w:t>
      </w:r>
      <w:r>
        <w:br/>
        <w:t>• Understand compliance and defense alignment.</w:t>
      </w:r>
    </w:p>
    <w:p w14:paraId="7F5E289B" w14:textId="77777777" w:rsidR="00343030" w:rsidRDefault="00000000">
      <w:pPr>
        <w:pStyle w:val="Heading1"/>
      </w:pPr>
      <w:r>
        <w:t>3. Incident Response Fundamentals</w:t>
      </w:r>
    </w:p>
    <w:p w14:paraId="5A48B120" w14:textId="77777777" w:rsidR="00343030" w:rsidRDefault="00000000">
      <w:pPr>
        <w:pStyle w:val="Heading2"/>
      </w:pPr>
      <w:r>
        <w:t>What to Learn</w:t>
      </w:r>
    </w:p>
    <w:p w14:paraId="31C00B57" w14:textId="77777777" w:rsidR="00343030" w:rsidRDefault="00000000">
      <w:r>
        <w:t>• Incident Lifecycle: Preparation, Detection, Containment, Eradication, Recovery.</w:t>
      </w:r>
      <w:r>
        <w:br/>
        <w:t>• Role of playbooks, SOC workflows, and incident prioritization.</w:t>
      </w:r>
    </w:p>
    <w:p w14:paraId="7766F33D" w14:textId="77777777" w:rsidR="00343030" w:rsidRDefault="00000000">
      <w:pPr>
        <w:pStyle w:val="Heading1"/>
      </w:pPr>
      <w:r>
        <w:t>4. Risk Management Advanced Concepts</w:t>
      </w:r>
    </w:p>
    <w:p w14:paraId="438E715B" w14:textId="77777777" w:rsidR="00343030" w:rsidRDefault="00000000">
      <w:pPr>
        <w:pStyle w:val="Heading2"/>
      </w:pPr>
      <w:r>
        <w:t>What to Learn</w:t>
      </w:r>
    </w:p>
    <w:p w14:paraId="4A9F962F" w14:textId="77777777" w:rsidR="00343030" w:rsidRDefault="00000000">
      <w:r>
        <w:t>• Concepts: Quantitative vs. qualitative risk assessment, Business Impact Analysis (BIA).</w:t>
      </w:r>
    </w:p>
    <w:p w14:paraId="67517904" w14:textId="77777777" w:rsidR="00343030" w:rsidRDefault="00000000">
      <w:pPr>
        <w:pStyle w:val="Heading2"/>
      </w:pPr>
      <w:r>
        <w:t>Key Objectives</w:t>
      </w:r>
    </w:p>
    <w:p w14:paraId="3B9C7687" w14:textId="77777777" w:rsidR="00343030" w:rsidRDefault="00000000">
      <w:r>
        <w:t>• Quantify risks and assess business impacts effectively.</w:t>
      </w:r>
    </w:p>
    <w:p w14:paraId="1E2A63AB" w14:textId="77777777" w:rsidR="00343030" w:rsidRDefault="00000000">
      <w:pPr>
        <w:pStyle w:val="Heading1"/>
      </w:pPr>
      <w:r>
        <w:t>Screenshots</w:t>
      </w:r>
    </w:p>
    <w:p w14:paraId="5B3E58E8" w14:textId="77777777" w:rsidR="00343030" w:rsidRDefault="00000000">
      <w:r>
        <w:t>Insert relevant screenshots here for threat modeling, frameworks, incident response, and risk management exercises.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194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091943.png related to Advanced Threat Analysis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195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091956.png related to Advanced Threat Analysis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200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092008.png related to Advanced Threat Analysis</w:t>
      </w:r>
    </w:p>
    <w:p>
      <w:r>
        <w:drawing>
          <wp:inline xmlns:a="http://schemas.openxmlformats.org/drawingml/2006/main" xmlns:pic="http://schemas.openxmlformats.org/drawingml/2006/picture">
            <wp:extent cx="5029200" cy="63050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220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305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092201.png related to Advanced Threat Analysis</w:t>
      </w:r>
    </w:p>
    <w:p>
      <w:r>
        <w:drawing>
          <wp:inline xmlns:a="http://schemas.openxmlformats.org/drawingml/2006/main" xmlns:pic="http://schemas.openxmlformats.org/drawingml/2006/picture">
            <wp:extent cx="5029200" cy="214450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532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4450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095325.png related to Advanced Threat Analysis</w:t>
      </w:r>
    </w:p>
    <w:p>
      <w:r>
        <w:drawing>
          <wp:inline xmlns:a="http://schemas.openxmlformats.org/drawingml/2006/main" xmlns:pic="http://schemas.openxmlformats.org/drawingml/2006/picture">
            <wp:extent cx="5029200" cy="434773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0 09595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477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2025-08-20 095950.png related to Advanced Threat Analysis</w:t>
      </w:r>
    </w:p>
    <w:p>
      <w:r/>
    </w:p>
    <w:p>
      <w:r>
        <w:t>[Error inserting /mnt/data/red_team_screens/14-domains-819x1024.webp]</w:t>
      </w:r>
    </w:p>
    <w:p>
      <w:r>
        <w:drawing>
          <wp:inline xmlns:a="http://schemas.openxmlformats.org/drawingml/2006/main" xmlns:pic="http://schemas.openxmlformats.org/drawingml/2006/picture">
            <wp:extent cx="5029200" cy="39252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SFwhee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252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CSFwheel.png related to Security Frameworks in Depth</w:t>
      </w:r>
    </w:p>
    <w:p>
      <w:r>
        <w:drawing>
          <wp:inline xmlns:a="http://schemas.openxmlformats.org/drawingml/2006/main" xmlns:pic="http://schemas.openxmlformats.org/drawingml/2006/picture">
            <wp:extent cx="5029200" cy="150794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1 12112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07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2025-08-21 121123.png related to Incident Response Fundamentals</w:t>
      </w:r>
    </w:p>
    <w:p>
      <w:r>
        <w:drawing>
          <wp:inline xmlns:a="http://schemas.openxmlformats.org/drawingml/2006/main" xmlns:pic="http://schemas.openxmlformats.org/drawingml/2006/picture">
            <wp:extent cx="5029200" cy="3107213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1 1219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072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2025-08-21 121940.png related to Incident Response Fundamentals</w:t>
      </w:r>
    </w:p>
    <w:p>
      <w:r>
        <w:drawing>
          <wp:inline xmlns:a="http://schemas.openxmlformats.org/drawingml/2006/main" xmlns:pic="http://schemas.openxmlformats.org/drawingml/2006/picture">
            <wp:extent cx="5029200" cy="280861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lineGraphic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08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TimelineGraphic8.jpg related to Incident Response Fundamentals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3 12424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2025-08-23 124241.png related to Risk Management Advanced Concepts</w:t>
      </w:r>
    </w:p>
    <w:p>
      <w:r>
        <w:drawing>
          <wp:inline xmlns:a="http://schemas.openxmlformats.org/drawingml/2006/main" xmlns:pic="http://schemas.openxmlformats.org/drawingml/2006/picture">
            <wp:extent cx="5029200" cy="209483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3 12494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948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2025-08-23 124941.png related to Risk Management Advanced Concepts</w:t>
      </w:r>
    </w:p>
    <w:p>
      <w:r>
        <w:drawing>
          <wp:inline xmlns:a="http://schemas.openxmlformats.org/drawingml/2006/main" xmlns:pic="http://schemas.openxmlformats.org/drawingml/2006/picture">
            <wp:extent cx="5029200" cy="31432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2025-08-23 14355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Figure: Screenshot 2025-08-23 143556.png related to Risk Management Advanced Concepts</w:t>
      </w:r>
    </w:p>
    <w:p>
      <w:r/>
    </w:p>
    <w:p>
      <w:r>
        <w:t>[Error inserting /mnt/data/red_team_screens/how-ransomware-works.avif]</w:t>
      </w:r>
    </w:p>
    <w:sectPr w:rsidR="0034303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80083968">
    <w:abstractNumId w:val="8"/>
  </w:num>
  <w:num w:numId="2" w16cid:durableId="943421402">
    <w:abstractNumId w:val="6"/>
  </w:num>
  <w:num w:numId="3" w16cid:durableId="987980677">
    <w:abstractNumId w:val="5"/>
  </w:num>
  <w:num w:numId="4" w16cid:durableId="737018585">
    <w:abstractNumId w:val="4"/>
  </w:num>
  <w:num w:numId="5" w16cid:durableId="517617031">
    <w:abstractNumId w:val="7"/>
  </w:num>
  <w:num w:numId="6" w16cid:durableId="1630091707">
    <w:abstractNumId w:val="3"/>
  </w:num>
  <w:num w:numId="7" w16cid:durableId="991106286">
    <w:abstractNumId w:val="2"/>
  </w:num>
  <w:num w:numId="8" w16cid:durableId="930773164">
    <w:abstractNumId w:val="1"/>
  </w:num>
  <w:num w:numId="9" w16cid:durableId="1841432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E1758"/>
    <w:rsid w:val="0029639D"/>
    <w:rsid w:val="00326F90"/>
    <w:rsid w:val="00343030"/>
    <w:rsid w:val="0073440F"/>
    <w:rsid w:val="00AA1D8D"/>
    <w:rsid w:val="00B47730"/>
    <w:rsid w:val="00CA3BB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7D38B18"/>
  <w14:defaultImageDpi w14:val="300"/>
  <w15:docId w15:val="{9830CE1A-6FCD-44A4-94A7-8D7761850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jp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2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samskar Malepati</cp:lastModifiedBy>
  <cp:revision>2</cp:revision>
  <dcterms:created xsi:type="dcterms:W3CDTF">2013-12-23T23:15:00Z</dcterms:created>
  <dcterms:modified xsi:type="dcterms:W3CDTF">2025-08-22T10:57:00Z</dcterms:modified>
  <cp:category/>
</cp:coreProperties>
</file>