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D369" w14:textId="77777777" w:rsidR="00014A56" w:rsidRDefault="00000000">
      <w:pPr>
        <w:pStyle w:val="Heading1"/>
        <w:jc w:val="center"/>
      </w:pPr>
      <w:r>
        <w:t>Task 8 — Comprehensive Reporting &amp; Debriefing (Full Report)</w:t>
      </w:r>
    </w:p>
    <w:p w14:paraId="31D557A9" w14:textId="77777777" w:rsidR="00014A56" w:rsidRDefault="00000000">
      <w:r>
        <w:t>Author: MALEPATI SAMSKAR REDDY</w:t>
      </w:r>
    </w:p>
    <w:p w14:paraId="6090B341" w14:textId="77777777" w:rsidR="00014A56" w:rsidRDefault="00000000">
      <w:r>
        <w:t>Date: September 19, 2025</w:t>
      </w:r>
    </w:p>
    <w:p w14:paraId="2A399BAE" w14:textId="77777777" w:rsidR="00014A56" w:rsidRDefault="00000000">
      <w:r>
        <w:t>Scope: Produce PTES-compliant red team reports, executive briefings, findings tables, and visual attack-path diagrams.</w:t>
      </w:r>
    </w:p>
    <w:p w14:paraId="7F163E98" w14:textId="77777777" w:rsidR="00014A56" w:rsidRDefault="00000000">
      <w:r>
        <w:t>Note: Screenshots are referenced by filename in the Week 4 mapping; this document contains only content (no embedded images).</w:t>
      </w:r>
    </w:p>
    <w:p w14:paraId="136C4C00" w14:textId="77777777" w:rsidR="00014A56" w:rsidRDefault="00000000">
      <w:r>
        <w:t>---</w:t>
      </w:r>
    </w:p>
    <w:p w14:paraId="3CAC5C5D" w14:textId="77777777" w:rsidR="00014A56" w:rsidRDefault="00000000">
      <w:pPr>
        <w:pStyle w:val="Heading2"/>
      </w:pPr>
      <w:r>
        <w:t>1. Objective</w:t>
      </w:r>
    </w:p>
    <w:p w14:paraId="3B6036C0" w14:textId="77777777" w:rsidR="00014A56" w:rsidRDefault="00000000">
      <w:r>
        <w:t>Create professional, repeatable red-team deliverables including a PTES-style technical report, executive summary (100 words), non-technical brief (100 words), findings table with CVSS and remediation, and attack-path visualizations for stakeholders. Ensure outputs are clear for both technical teams and executives.</w:t>
      </w:r>
    </w:p>
    <w:p w14:paraId="75212ADB" w14:textId="77777777" w:rsidR="00014A56" w:rsidRDefault="00000000">
      <w:pPr>
        <w:pStyle w:val="Heading2"/>
      </w:pPr>
      <w:r>
        <w:t>2. Report Structure (PTES-aligned)</w:t>
      </w:r>
    </w:p>
    <w:p w14:paraId="1475FBDD" w14:textId="77777777" w:rsidR="00014A56" w:rsidRDefault="00000000">
      <w:r>
        <w:t>Recommended sections and content for the full PTES-compliant report:</w:t>
      </w:r>
    </w:p>
    <w:p w14:paraId="0D4BFAC5" w14:textId="77777777" w:rsidR="00014A56" w:rsidRDefault="00000000">
      <w:r>
        <w:t>- Cover page: Engagement name, client, author, date, scope, and disclaimers.</w:t>
      </w:r>
    </w:p>
    <w:p w14:paraId="36E014DC" w14:textId="77777777" w:rsidR="00014A56" w:rsidRDefault="00000000">
      <w:r>
        <w:t>- Executive Summary (100 words): high-level findings and critical remediation items.</w:t>
      </w:r>
    </w:p>
    <w:p w14:paraId="4D8D05BA" w14:textId="77777777" w:rsidR="00014A56" w:rsidRDefault="00000000">
      <w:r>
        <w:t>- Scope &amp; Rules of Engagement: Targets, boundaries, timelines, and permitted actions.</w:t>
      </w:r>
    </w:p>
    <w:p w14:paraId="36218730" w14:textId="77777777" w:rsidR="00014A56" w:rsidRDefault="00000000">
      <w:r>
        <w:t>- Methodology: Tools, lab setup, attack flow, and commands (redacted as needed).</w:t>
      </w:r>
    </w:p>
    <w:p w14:paraId="3F4C1561" w14:textId="77777777" w:rsidR="00014A56" w:rsidRDefault="00000000">
      <w:r>
        <w:t>- Findings &amp; Evidence: Detailed findings mapped to MITRE ATT&amp;CK, CVSS scores, evidence references (filenames), and screenshots saved separately.</w:t>
      </w:r>
    </w:p>
    <w:p w14:paraId="64DCF504" w14:textId="77777777" w:rsidR="00014A56" w:rsidRDefault="00000000">
      <w:r>
        <w:t>- Impact Analysis &amp; Risk Rating: Business impact, likelihood, and suggested prioritization.</w:t>
      </w:r>
    </w:p>
    <w:p w14:paraId="0BB07EEF" w14:textId="77777777" w:rsidR="00014A56" w:rsidRDefault="00000000">
      <w:r>
        <w:t>- Recommendations &amp; Remediation Roadmap: Technical fixes, short-term mitigations, and long-term improvements.</w:t>
      </w:r>
    </w:p>
    <w:p w14:paraId="0D02608F" w14:textId="77777777" w:rsidR="00014A56" w:rsidRDefault="00000000">
      <w:r>
        <w:t>- Detection &amp; Response Gaps: SOC observations, tuning advice, and playbook suggestions.</w:t>
      </w:r>
    </w:p>
    <w:p w14:paraId="2F3EF73C" w14:textId="77777777" w:rsidR="00014A56" w:rsidRDefault="00000000">
      <w:r>
        <w:t>- Appendices: Commands.txt, logs, timeline, and artifact inventory.</w:t>
      </w:r>
    </w:p>
    <w:p w14:paraId="1D9F95DC" w14:textId="77777777" w:rsidR="00014A56" w:rsidRDefault="00000000">
      <w:pPr>
        <w:pStyle w:val="Heading2"/>
      </w:pPr>
      <w:r>
        <w:lastRenderedPageBreak/>
        <w:t>3. Executive Summary (100 words) — Template</w:t>
      </w:r>
    </w:p>
    <w:p w14:paraId="0E44E354" w14:textId="77777777" w:rsidR="00014A56" w:rsidRDefault="00000000">
      <w:pPr>
        <w:pStyle w:val="IntenseQuote"/>
      </w:pPr>
      <w:r>
        <w:br/>
        <w:t>[100-word executive summary template — replace placeholders]</w:t>
      </w:r>
      <w:r>
        <w:br/>
        <w:t>During a controlled red-team engagement, multiple critical vulnerabilities were identified that enabled unauthorized access and data exfiltration. Key issues include overprivileged IAM roles, publicly exposed S3 buckets, and script-based in-memory execution enabling C2 beaconing. Immediate actions: enforce MFA, restrict S3 ACLs, apply least-privilege to IAM roles, and enable enhanced PowerShell and network telemetry. These measures will reduce attacker dwell time and protect sensitive assets while technical remediation and SOC tuning are executed.</w:t>
      </w:r>
      <w:r>
        <w:br/>
      </w:r>
    </w:p>
    <w:p w14:paraId="03D1CF28" w14:textId="77777777" w:rsidR="00014A56" w:rsidRDefault="00000000">
      <w:pPr>
        <w:pStyle w:val="Heading2"/>
      </w:pPr>
      <w:r>
        <w:t>4. Non-Technical Brief (100 words) — Template</w:t>
      </w:r>
    </w:p>
    <w:p w14:paraId="2304E981" w14:textId="77777777" w:rsidR="00014A56" w:rsidRDefault="00000000">
      <w:pPr>
        <w:pStyle w:val="IntenseQuote"/>
      </w:pPr>
      <w:r>
        <w:br/>
        <w:t>[100-word non-technical brief — for executives]</w:t>
      </w:r>
      <w:r>
        <w:br/>
        <w:t>A simulated attack showed attackers could access sensitive systems and copy mock data due to misconfigurations and weak controls. We recommend immediate steps: enable multi-factor authentication, lock down cloud storage, and review user privileges. These actions reduce business risk quickly. A technical remediation plan is attached for the engineering team with prioritized fixes and estimated effort.</w:t>
      </w:r>
      <w:r>
        <w:br/>
      </w:r>
    </w:p>
    <w:p w14:paraId="0E7EC7A4" w14:textId="77777777" w:rsidR="00014A56" w:rsidRDefault="00000000">
      <w:pPr>
        <w:pStyle w:val="Heading2"/>
      </w:pPr>
      <w:r>
        <w:t>5. Findings Table (example)</w:t>
      </w:r>
    </w:p>
    <w:p w14:paraId="30BDA6E3" w14:textId="77777777" w:rsidR="00014A56" w:rsidRDefault="00000000">
      <w:r>
        <w:t>Provide a compact table of findings (example rows):</w:t>
      </w:r>
    </w:p>
    <w:p w14:paraId="76B810CD" w14:textId="77777777" w:rsidR="00014A56" w:rsidRDefault="00000000">
      <w:pPr>
        <w:pStyle w:val="IntenseQuote"/>
      </w:pPr>
      <w:r>
        <w:br/>
        <w:t>| Finding ID | Summary                      | MITRE TTP     | CVSS | Risk    | Remediation (high level)               |</w:t>
      </w:r>
      <w:r>
        <w:br/>
        <w:t>|------------|------------------------------|---------------|------|---------|----------------------------------------|</w:t>
      </w:r>
      <w:r>
        <w:br/>
        <w:t>| FID001     | Overprivileged IAM role      | T1078.004     | 9.0  | Critical| Apply least-privilege; audit &amp; rotate  |</w:t>
      </w:r>
      <w:r>
        <w:br/>
        <w:t>| FID002     | Public S3 bucket             | T1580/T1537   | 8.0  | High    | Block public access; enable logging    |</w:t>
      </w:r>
      <w:r>
        <w:br/>
        <w:t>| FID003     | PowerShell fileless execution| T1059/T1086   | 7.0  | Medium  | Enable script block logging, AMSI      |</w:t>
      </w:r>
      <w:r>
        <w:br/>
        <w:t xml:space="preserve">| FID004     | Obfuscated payloads detected | T1027/T1071   | 6.5  | </w:t>
      </w:r>
      <w:r>
        <w:lastRenderedPageBreak/>
        <w:t>Medium  | Behavioral EDR &amp; egress filtering      |</w:t>
      </w:r>
      <w:r>
        <w:br/>
      </w:r>
    </w:p>
    <w:p w14:paraId="0E698D79" w14:textId="77777777" w:rsidR="00014A56" w:rsidRDefault="00000000">
      <w:pPr>
        <w:pStyle w:val="Heading2"/>
      </w:pPr>
      <w:r>
        <w:t>6. Metrics, KPIs &amp; Executive Dashboards</w:t>
      </w:r>
    </w:p>
    <w:p w14:paraId="02651E52" w14:textId="77777777" w:rsidR="00014A56" w:rsidRDefault="00000000">
      <w:r>
        <w:t>Suggested KPIs to include in debriefs:</w:t>
      </w:r>
    </w:p>
    <w:p w14:paraId="7C48EE93" w14:textId="77777777" w:rsidR="00014A56" w:rsidRDefault="00000000">
      <w:r>
        <w:t>- Detection Rate (%) per TTP / Attack Phase</w:t>
      </w:r>
    </w:p>
    <w:p w14:paraId="14F585DA" w14:textId="77777777" w:rsidR="00014A56" w:rsidRDefault="00000000">
      <w:r>
        <w:t>- Mean Time To Detect (MTTD) and Mean Time To Respond (MTTR)</w:t>
      </w:r>
    </w:p>
    <w:p w14:paraId="2A1CBDC2" w14:textId="77777777" w:rsidR="00014A56" w:rsidRDefault="00000000">
      <w:r>
        <w:t>- Number of compromised hosts / assets</w:t>
      </w:r>
    </w:p>
    <w:p w14:paraId="2BA892D8" w14:textId="77777777" w:rsidR="00014A56" w:rsidRDefault="00000000">
      <w:r>
        <w:t>- Phishing click-through and credential capture rates</w:t>
      </w:r>
    </w:p>
    <w:p w14:paraId="7D163A5D" w14:textId="77777777" w:rsidR="00014A56" w:rsidRDefault="00000000">
      <w:r>
        <w:t>- Time to privilege escalation and time to exfiltration (seconds/minutes)</w:t>
      </w:r>
    </w:p>
    <w:p w14:paraId="58C9F014" w14:textId="77777777" w:rsidR="00014A56" w:rsidRDefault="00000000">
      <w:pPr>
        <w:pStyle w:val="Heading2"/>
      </w:pPr>
      <w:r>
        <w:t>7. Recommendations for Presenting to Stakeholders</w:t>
      </w:r>
    </w:p>
    <w:p w14:paraId="560C177D" w14:textId="77777777" w:rsidR="00014A56" w:rsidRDefault="00000000">
      <w:r>
        <w:t>- Technical Appendix for SOC: full command logs, evidence filenames, SIEM queries, and remediation steps.</w:t>
      </w:r>
    </w:p>
    <w:p w14:paraId="28EE09A7" w14:textId="77777777" w:rsidR="00014A56" w:rsidRDefault="00000000">
      <w:r>
        <w:t>- Executive Brief: focus on risk, business impact, and prioritized remediation (top 3).</w:t>
      </w:r>
    </w:p>
    <w:p w14:paraId="4EF50D14" w14:textId="77777777" w:rsidR="00014A56" w:rsidRDefault="00000000">
      <w:r>
        <w:t>- Visual Attack Path Diagram: simple step boxes showing exploit chain (no technical jargon) for executives; detailed graph for technical teams.</w:t>
      </w:r>
    </w:p>
    <w:p w14:paraId="2A03A80F" w14:textId="77777777" w:rsidR="00014A56" w:rsidRDefault="00000000">
      <w:r>
        <w:t>- Actionable Remediation Plan: short-term (hours/days), medium-term (weeks), and long-term (months).</w:t>
      </w:r>
    </w:p>
    <w:p w14:paraId="69532196" w14:textId="77777777" w:rsidR="00014A56" w:rsidRDefault="00000000">
      <w:pPr>
        <w:pStyle w:val="Heading2"/>
      </w:pPr>
      <w:r>
        <w:t>8. Sample 200‑Word PTES Technical Report (Template)</w:t>
      </w:r>
    </w:p>
    <w:p w14:paraId="68FCF989" w14:textId="6BA4B904" w:rsidR="004D21C0" w:rsidRDefault="00000000" w:rsidP="004D21C0">
      <w:pPr>
        <w:pStyle w:val="IntenseQuote"/>
      </w:pPr>
      <w:r>
        <w:br/>
        <w:t>[200-word technical summary — include in full report]</w:t>
      </w:r>
      <w:r>
        <w:br/>
        <w:t xml:space="preserve">An end-to-end red-team engagement validated multiple attack vectors enabling unauthorized access and mock data exfiltration within a controlled lab. Reconnaissance exposed S3 buckets and IAM metadata; phishing operations captured credentials enabling initial access. PoshC2/Cobalt-style HTTPS beacons and fileless PowerShell stages permitted in-memory execution and remote command execution. Pacu modules revealed overprivileged roles and facilitated assume-role escalation, enabling broad access to S3 and configuration data. Automated orchestration (Caldera/RTA) replicated multi-stage campaigns and highlighted gaps in telemetry correlation between host and cloud logs. Detection was triggered in Wazuh for PowerShell anomalies and CloudTrail events for S3 PutObject; however, lag in correlation allowed </w:t>
      </w:r>
      <w:r>
        <w:lastRenderedPageBreak/>
        <w:t>the simulated exfiltration to complete. We advise urgent enforcement of MFA, immediate remediation of public S3 ACLs, least-privilege role reviews, activation of CloudTrail data event logging, and EDR tuning for script-based behaviors. A prioritized remediation roadmap, SIEM queries for hunting, and a post-engagement validation plan are provided in appendices.</w:t>
      </w:r>
      <w:r>
        <w:br/>
      </w:r>
    </w:p>
    <w:p w14:paraId="101DB4EF" w14:textId="5C2E7EEA" w:rsidR="00014A56" w:rsidRDefault="00014A56"/>
    <w:sectPr w:rsidR="00014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83715">
    <w:abstractNumId w:val="8"/>
  </w:num>
  <w:num w:numId="2" w16cid:durableId="2068139738">
    <w:abstractNumId w:val="6"/>
  </w:num>
  <w:num w:numId="3" w16cid:durableId="703793143">
    <w:abstractNumId w:val="5"/>
  </w:num>
  <w:num w:numId="4" w16cid:durableId="1161577227">
    <w:abstractNumId w:val="4"/>
  </w:num>
  <w:num w:numId="5" w16cid:durableId="668991622">
    <w:abstractNumId w:val="7"/>
  </w:num>
  <w:num w:numId="6" w16cid:durableId="925772227">
    <w:abstractNumId w:val="3"/>
  </w:num>
  <w:num w:numId="7" w16cid:durableId="1363633838">
    <w:abstractNumId w:val="2"/>
  </w:num>
  <w:num w:numId="8" w16cid:durableId="369649724">
    <w:abstractNumId w:val="1"/>
  </w:num>
  <w:num w:numId="9" w16cid:durableId="754202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56"/>
    <w:rsid w:val="00034616"/>
    <w:rsid w:val="0006063C"/>
    <w:rsid w:val="0015074B"/>
    <w:rsid w:val="001573C0"/>
    <w:rsid w:val="0029639D"/>
    <w:rsid w:val="00326F90"/>
    <w:rsid w:val="004D21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B5E95"/>
  <w14:defaultImageDpi w14:val="300"/>
  <w15:docId w15:val="{D13F0451-DC3B-4A68-98B6-C8951FFC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2</cp:revision>
  <dcterms:created xsi:type="dcterms:W3CDTF">2013-12-23T23:15:00Z</dcterms:created>
  <dcterms:modified xsi:type="dcterms:W3CDTF">2025-09-19T10:34:00Z</dcterms:modified>
  <cp:category/>
</cp:coreProperties>
</file>