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9"/>
        <w:keepNext w:val="false"/>
        <w:keepLines w:val="false"/>
        <w:pBdr/>
        <w:spacing w:before="280"/>
        <w:ind/>
        <w:rPr>
          <w:b w:val="0"/>
          <w:bCs w:val="0"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</w:t>
      </w:r>
      <w:r>
        <w:rPr>
          <w:b w:val="0"/>
          <w:bCs w:val="0"/>
          <w:color w:val="000000"/>
          <w:sz w:val="26"/>
          <w:szCs w:val="26"/>
        </w:rPr>
        <w:t xml:space="preserve">Передача ставок в кол-центр</w:t>
      </w:r>
      <w:r>
        <w:rPr>
          <w:b w:val="0"/>
          <w:bCs w:val="0"/>
          <w:color w:val="000000"/>
          <w:sz w:val="26"/>
          <w:szCs w:val="26"/>
        </w:rPr>
      </w:r>
      <w:r>
        <w:rPr>
          <w:b w:val="0"/>
          <w:bCs w:val="0"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 w:val="0"/>
          <w:bCs w:val="0"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</w:t>
      </w:r>
      <w:r>
        <w:rPr>
          <w:b/>
          <w:color w:val="000000"/>
          <w:sz w:val="26"/>
          <w:szCs w:val="26"/>
        </w:rPr>
        <w:t xml:space="preserve"> </w:t>
      </w:r>
      <w:r>
        <w:rPr>
          <w:b w:val="0"/>
          <w:bCs w:val="0"/>
          <w:color w:val="000000"/>
          <w:sz w:val="26"/>
          <w:szCs w:val="26"/>
        </w:rPr>
        <w:t xml:space="preserve">Ожогин Антон</w:t>
      </w:r>
      <w:r>
        <w:rPr>
          <w:b w:val="0"/>
          <w:bCs w:val="0"/>
          <w:color w:val="000000"/>
          <w:sz w:val="26"/>
          <w:szCs w:val="26"/>
        </w:rPr>
      </w:r>
      <w:r>
        <w:rPr>
          <w:b w:val="0"/>
          <w:bCs w:val="0"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 w:val="0"/>
          <w:bCs w:val="0"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 </w:t>
      </w:r>
      <w:r>
        <w:rPr>
          <w:b w:val="0"/>
          <w:bCs w:val="0"/>
          <w:color w:val="000000"/>
          <w:sz w:val="26"/>
          <w:szCs w:val="26"/>
          <w:rtl w:val="0"/>
        </w:rPr>
        <w:t xml:space="preserve">26.12.2024</w:t>
      </w:r>
      <w:r>
        <w:rPr>
          <w:b w:val="0"/>
          <w:bCs w:val="0"/>
          <w:color w:val="000000"/>
          <w:sz w:val="26"/>
          <w:szCs w:val="26"/>
        </w:rPr>
      </w:r>
      <w:r>
        <w:rPr>
          <w:b w:val="0"/>
          <w:bCs w:val="0"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  <w:r/>
    </w:p>
    <w:tbl>
      <w:tblPr>
        <w:tblStyle w:val="895"/>
        <w:tblW w:w="82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611"/>
        <w:gridCol w:w="3834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Партнёрский кол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-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центр, 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Кол-центр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Обновление информации о ставках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97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Периодически сотрудники КЦ производят отправку данных по обновлённым ставкам по депозитам в сторонний колл-центр который в свою очередь кеширует </w:t>
            </w:r>
            <w:r>
              <w:rPr>
                <w:sz w:val="18"/>
                <w:szCs w:val="18"/>
              </w:rPr>
              <w:t xml:space="preserve">обновлённые </w:t>
            </w:r>
            <w:r>
              <w:rPr>
                <w:sz w:val="18"/>
                <w:szCs w:val="18"/>
              </w:rPr>
              <w:t xml:space="preserve">данные.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Клиент, 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Партнёрский кол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-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центр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97"/>
              <w:pBdr/>
              <w:spacing/>
              <w:ind/>
              <w:rPr>
                <w:sz w:val="18"/>
                <w:szCs w:val="18"/>
                <w:shd w:val="nil" w:color="000000"/>
                <w:rtl w:val="0"/>
                <w:lang w:val="ru-RU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18"/>
                <w:szCs w:val="18"/>
                <w:shd w:val="nil" w:color="000000"/>
                <w:rtl w:val="0"/>
                <w:lang w:val="ru-RU"/>
              </w:rPr>
            </w:pPr>
            <w:r>
              <w:rPr>
                <w:sz w:val="18"/>
                <w:szCs w:val="18"/>
                <w:shd w:val="nil" w:color="000000"/>
                <w:rtl w:val="0"/>
                <w:lang w:val="ru-RU"/>
              </w:rPr>
              <w:t xml:space="preserve">Запрос консультации</w:t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  <w:r>
              <w:rPr>
                <w:sz w:val="18"/>
                <w:szCs w:val="18"/>
                <w:shd w:val="nil" w:color="000000"/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Клиент звонит в кол-центр, чтобы получить консультацию по депозитным ставкам.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нефункциональные требования и архитектурно-значимые требования.</w:t>
      </w:r>
      <w:r/>
    </w:p>
    <w:tbl>
      <w:tblPr>
        <w:tblStyle w:val="896"/>
        <w:tblW w:w="8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  <w:tblGridChange w:id="1">
          <w:tblGrid>
            <w:gridCol w:w="465"/>
            <w:gridCol w:w="7725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Обеспечение безопасности передачи данных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Обеспечение высокой доступности и надёжности системы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897"/>
              <w:pBdr/>
              <w:spacing/>
              <w:ind/>
              <w:rPr/>
            </w:pPr>
            <w:r>
              <w:rPr>
                <w:sz w:val="17"/>
                <w:szCs w:val="17"/>
                <w:shd w:val="nil" w:color="000000"/>
                <w:rtl w:val="0"/>
                <w:lang w:val="ru-RU"/>
              </w:rPr>
              <w:t xml:space="preserve">Система должна обрабатывать обновления ставок ежедневно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/>
              <w:shd w:val="clear" w:color="auto" w:fill="auto"/>
              <w:bidi w:val="false"/>
              <w:spacing w:after="0" w:before="0" w:line="276" w:lineRule="auto"/>
              <w:ind w:right="0" w:firstLine="0" w:left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/>
                <w:spacing w:val="0"/>
                <w:position w:val="0"/>
                <w:sz w:val="17"/>
                <w:szCs w:val="17"/>
                <w:u w:val="none"/>
                <w:shd w:val="nil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/>
              <w:shd w:val="clear" w:color="auto" w:fill="auto"/>
              <w:bidi w:val="false"/>
              <w:spacing w:after="0" w:before="0" w:line="276" w:lineRule="auto"/>
              <w:ind w:right="0" w:firstLine="0" w:left="0"/>
              <w:jc w:val="left"/>
              <w:outlineLvl w:val="9"/>
              <w:rPr>
                <w:rtl w:val="0"/>
              </w:rPr>
            </w:pPr>
            <w:r>
              <w:rPr>
                <w:rFonts w:hint="default"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/>
                <w:spacing w:val="0"/>
                <w:position w:val="0"/>
                <w:sz w:val="17"/>
                <w:szCs w:val="17"/>
                <w:u w:val="none"/>
                <w:shd w:val="nil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Обмен данными с партнерским колл</w:t>
            </w: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/>
                <w:spacing w:val="0"/>
                <w:position w:val="0"/>
                <w:sz w:val="17"/>
                <w:szCs w:val="17"/>
                <w:u w:val="none"/>
                <w:shd w:val="nil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</w:t>
            </w:r>
            <w:r>
              <w:rPr>
                <w:rFonts w:hint="default"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/>
                <w:spacing w:val="0"/>
                <w:position w:val="0"/>
                <w:sz w:val="17"/>
                <w:szCs w:val="17"/>
                <w:u w:val="none"/>
                <w:shd w:val="nil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центром при помощи файлового протокола </w:t>
            </w:r>
            <w:r>
              <w:rPr>
                <w:rFonts w:ascii="Arial" w:hAnsi="Arial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/>
                <w:spacing w:val="0"/>
                <w:position w:val="0"/>
                <w:sz w:val="17"/>
                <w:szCs w:val="17"/>
                <w:u w:val="none"/>
                <w:shd w:val="nil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SFTP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</w:tbl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  <w:t xml:space="preserve">Диаграма контекста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pBdr/>
        <w:spacing w:after="240" w:before="240"/>
        <w:ind/>
        <w:rPr/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6741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825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3674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289.3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highlight w:val="none"/>
        </w:rPr>
      </w:pPr>
      <w:r>
        <w:rPr>
          <w:rtl w:val="0"/>
        </w:rPr>
        <w:t xml:space="preserve">Диаграмма контейнеров</w:t>
      </w:r>
      <w:r>
        <w:rPr>
          <w:highlight w:val="none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9291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230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3929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309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50"/>
        <w:numPr>
          <w:ilvl w:val="0"/>
          <w:numId w:val="1"/>
        </w:numPr>
        <w:pBdr/>
        <w:spacing w:after="240" w:before="240"/>
        <w:ind/>
        <w:rPr/>
      </w:pPr>
      <w:r>
        <w:rPr>
          <w:rtl w:val="0"/>
        </w:rPr>
        <w:t xml:space="preserve">Использование API для передачи файлов\json объектов обновления ставок по депозитам</w:t>
      </w:r>
      <w:r/>
    </w:p>
    <w:p>
      <w:pPr>
        <w:pStyle w:val="850"/>
        <w:numPr>
          <w:ilvl w:val="0"/>
          <w:numId w:val="1"/>
        </w:numPr>
        <w:pBdr/>
        <w:spacing w:after="240" w:before="240"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Развитие внутреннего КЦ для отказа от партнёрской интеграции.</w: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SFPT – достаточно проверенный временем протокол передачи файлов, однако и</w:t>
      </w:r>
      <w:r>
        <w:rPr>
          <w:rtl w:val="0"/>
        </w:rPr>
        <w:t xml:space="preserve">нтеграция требует доработок которые будет сложно поддержитвать и не является удобной для автоматического взаимодействия без участия человека, требуется обеспечить контроль сервиса в частности свободного места, а также контроля доступа со стороны партнёров.</w:t>
      </w:r>
      <w:r/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2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3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4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character" w:styleId="837">
    <w:name w:val="Heading 1 Char"/>
    <w:basedOn w:val="835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5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5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5"/>
    <w:link w:val="89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5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5"/>
    <w:link w:val="89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5"/>
    <w:link w:val="8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5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5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Title Char"/>
    <w:basedOn w:val="835"/>
    <w:link w:val="89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Subtitle Char"/>
    <w:basedOn w:val="835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5"/>
    <w:next w:val="88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5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5"/>
    <w:next w:val="88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5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5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5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5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5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5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pPr>
      <w:pBdr/>
      <w:spacing/>
      <w:ind/>
    </w:pPr>
  </w:style>
  <w:style w:type="table" w:styleId="88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7">
    <w:name w:val="Heading 1"/>
    <w:basedOn w:val="885"/>
    <w:next w:val="88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88">
    <w:name w:val="Heading 2"/>
    <w:basedOn w:val="885"/>
    <w:next w:val="88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89">
    <w:name w:val="Heading 3"/>
    <w:basedOn w:val="885"/>
    <w:next w:val="88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0">
    <w:name w:val="Heading 4"/>
    <w:basedOn w:val="885"/>
    <w:next w:val="88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1">
    <w:name w:val="Heading 5"/>
    <w:basedOn w:val="885"/>
    <w:next w:val="88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2">
    <w:name w:val="Heading 6"/>
    <w:basedOn w:val="885"/>
    <w:next w:val="88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3">
    <w:name w:val="Title"/>
    <w:basedOn w:val="885"/>
    <w:next w:val="88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4">
    <w:name w:val="Subtitle"/>
    <w:basedOn w:val="885"/>
    <w:next w:val="88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95">
    <w:name w:val="StGen0"/>
    <w:basedOn w:val="88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StGen1"/>
    <w:basedOn w:val="88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 w:customStyle="1">
    <w:name w:val="Основной текст"/>
    <w:pPr>
      <w:keepNext w:val="false"/>
      <w:keepLines w:val="false"/>
      <w:pageBreakBefore w:val="false"/>
      <w:framePr w:h="0" w:hRule="exact" w:hSpace="0" w:vAnchor="margin" w:vSpace="0" w:w="0" w:xAlign="left" w:y="0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nil"/>
      <w:vertAlign w:val="baseline"/>
      <w:rtl w:val="0"/>
      <w:cs w:val="0"/>
      <w:lang w:val="ru-RU" w:eastAsia="zh-CN" w:bidi="ar-SA"/>
      <w14:textOutline>
        <w14:noFill/>
      </w14:textOutline>
      <w14:textFill>
        <w14:solidFill>
          <w14:srgbClr w14:val="000000"/>
        </w14:solidFill>
      </w14:textFill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2024-12-26T14:35:59Z</dcterms:modified>
</cp:coreProperties>
</file>