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BEC7" w14:textId="195999DC" w:rsidR="00B17EF9" w:rsidRDefault="00B17EF9" w:rsidP="00B17EF9">
      <w:pPr>
        <w:jc w:val="center"/>
        <w:rPr>
          <w:rFonts w:ascii="Times New Roman" w:hAnsi="Times New Roman" w:cs="Times New Roman"/>
          <w:b/>
          <w:bCs/>
          <w:color w:val="156082" w:themeColor="accent1"/>
          <w:u w:val="single"/>
        </w:rPr>
      </w:pPr>
      <w:r w:rsidRPr="00B17EF9">
        <w:rPr>
          <w:rFonts w:ascii="Times New Roman" w:hAnsi="Times New Roman" w:cs="Times New Roman"/>
          <w:b/>
          <w:bCs/>
          <w:color w:val="156082" w:themeColor="accent1"/>
          <w:u w:val="single"/>
        </w:rPr>
        <w:t>GC-07 – SUPPLIER EVALUATION</w:t>
      </w:r>
    </w:p>
    <w:p w14:paraId="57745006" w14:textId="77777777" w:rsidR="00B17EF9" w:rsidRPr="00B17EF9" w:rsidRDefault="00B17EF9" w:rsidP="00B17EF9">
      <w:pPr>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PURPOSE PACK #7 – SUPPLIER EVALUATION</w:t>
      </w:r>
    </w:p>
    <w:p w14:paraId="242EE407" w14:textId="77777777" w:rsidR="00B17EF9" w:rsidRPr="00B17EF9" w:rsidRDefault="00B17EF9" w:rsidP="00B17EF9">
      <w:pPr>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A. PURPOSE DEFINITION</w:t>
      </w:r>
    </w:p>
    <w:p w14:paraId="1E55029C" w14:textId="1E4C730C"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"Purpose" means the evaluation, assessment, qualification, selection, onboarding, engagement, management, or potential appointment of a supplier, manufacturer, distributor, procurement partner, logistics provider, or other supply chain participant by one or more of the Parties.</w:t>
      </w:r>
    </w:p>
    <w:p w14:paraId="3E51D9D6" w14:textId="77777777" w:rsidR="00B17EF9" w:rsidRPr="00B17EF9" w:rsidRDefault="00B17EF9" w:rsidP="00B17EF9">
      <w:pPr>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B. RECITAL VARIANT</w:t>
      </w:r>
    </w:p>
    <w:p w14:paraId="651EC54D" w14:textId="77777777" w:rsidR="00B17EF9" w:rsidRPr="00B17EF9" w:rsidRDefault="00B17EF9" w:rsidP="00B17EF9">
      <w:pPr>
        <w:rPr>
          <w:rFonts w:ascii="Times New Roman" w:hAnsi="Times New Roman" w:cs="Times New Roman"/>
          <w:color w:val="156082" w:themeColor="accent1"/>
        </w:rPr>
      </w:pPr>
      <w:proofErr w:type="gramStart"/>
      <w:r w:rsidRPr="00B17EF9">
        <w:rPr>
          <w:rFonts w:ascii="Times New Roman" w:hAnsi="Times New Roman" w:cs="Times New Roman"/>
          <w:color w:val="156082" w:themeColor="accent1"/>
        </w:rPr>
        <w:t>WHEREAS,</w:t>
      </w:r>
      <w:proofErr w:type="gramEnd"/>
      <w:r w:rsidRPr="00B17EF9">
        <w:rPr>
          <w:rFonts w:ascii="Times New Roman" w:hAnsi="Times New Roman" w:cs="Times New Roman"/>
          <w:color w:val="156082" w:themeColor="accent1"/>
        </w:rPr>
        <w:t xml:space="preserve"> the Parties desire to evaluate and discuss a potential supplier relationship, procurement arrangement, sourcing opportunity, manufacturing arrangement, distribution arrangement, logistics engagement, or other supply chain relationship;</w:t>
      </w:r>
    </w:p>
    <w:p w14:paraId="6883FDA7"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WHEREAS, in connection with such evaluation and discussions, the Parties may disclose and exchange confidential commercial, financial, operational, technical, procurement-related, supply chain, and proprietary information;</w:t>
      </w:r>
    </w:p>
    <w:p w14:paraId="5CD22348" w14:textId="2082B709" w:rsidR="00B17EF9" w:rsidRPr="00B17EF9" w:rsidRDefault="00B17EF9" w:rsidP="00B17EF9">
      <w:pPr>
        <w:rPr>
          <w:rFonts w:ascii="Times New Roman" w:hAnsi="Times New Roman" w:cs="Times New Roman"/>
          <w:color w:val="156082" w:themeColor="accent1"/>
        </w:rPr>
      </w:pPr>
      <w:proofErr w:type="gramStart"/>
      <w:r w:rsidRPr="00B17EF9">
        <w:rPr>
          <w:rFonts w:ascii="Times New Roman" w:hAnsi="Times New Roman" w:cs="Times New Roman"/>
          <w:color w:val="156082" w:themeColor="accent1"/>
        </w:rPr>
        <w:t>WHEREAS,</w:t>
      </w:r>
      <w:proofErr w:type="gramEnd"/>
      <w:r w:rsidRPr="00B17EF9">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04A07B98" w14:textId="77777777" w:rsidR="00B17EF9" w:rsidRPr="00B17EF9" w:rsidRDefault="00B17EF9" w:rsidP="00B17EF9">
      <w:pPr>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C. ADDITIONAL DEFINITIONS</w:t>
      </w:r>
    </w:p>
    <w:p w14:paraId="1BB2220E" w14:textId="77777777" w:rsidR="00B17EF9" w:rsidRPr="00B17EF9" w:rsidRDefault="00B17EF9" w:rsidP="00B17EF9">
      <w:pPr>
        <w:numPr>
          <w:ilvl w:val="0"/>
          <w:numId w:val="1"/>
        </w:numPr>
        <w:tabs>
          <w:tab w:val="clear" w:pos="360"/>
          <w:tab w:val="num" w:pos="720"/>
        </w:tabs>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Supplier</w:t>
      </w:r>
    </w:p>
    <w:p w14:paraId="1BD13088"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"Supplier" means any manufacturer, producer, wholesaler, distributor, trader, importer, exporter, logistics provider, procurement partner, inventory provider, raw material provider, component supplier, equipment supplier, or other entity supplying goods, materials, products, components, equipment, or related services.</w:t>
      </w:r>
    </w:p>
    <w:p w14:paraId="433F82C9" w14:textId="77777777" w:rsidR="00B17EF9" w:rsidRPr="00B17EF9" w:rsidRDefault="00B17EF9" w:rsidP="00B17EF9">
      <w:pPr>
        <w:numPr>
          <w:ilvl w:val="0"/>
          <w:numId w:val="2"/>
        </w:numPr>
        <w:tabs>
          <w:tab w:val="clear" w:pos="360"/>
          <w:tab w:val="num" w:pos="720"/>
        </w:tabs>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Supplier Information</w:t>
      </w:r>
    </w:p>
    <w:p w14:paraId="76892764"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"Supplier Information" means information relating to a Supplier's production capabilities, manufacturing processes, sourcing arrangements, quality standards, certifications, logistics capabilities, inventory levels, pricing structures, supply capacity, delivery performance, compliance status, and operational capabilities.</w:t>
      </w:r>
    </w:p>
    <w:p w14:paraId="06B92762" w14:textId="77777777" w:rsidR="00B17EF9" w:rsidRPr="00B17EF9" w:rsidRDefault="00B17EF9" w:rsidP="00B17EF9">
      <w:pPr>
        <w:numPr>
          <w:ilvl w:val="0"/>
          <w:numId w:val="3"/>
        </w:numPr>
        <w:tabs>
          <w:tab w:val="clear" w:pos="360"/>
          <w:tab w:val="num" w:pos="720"/>
        </w:tabs>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Supply Chain Information</w:t>
      </w:r>
    </w:p>
    <w:p w14:paraId="08289E6A"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"Supply Chain Information" means information relating to sourcing strategies, procurement activities, manufacturing operations, inventory management, logistics operations, warehousing activities, distribution arrangements, transportation systems, supply planning, and supply chain risk management.</w:t>
      </w:r>
    </w:p>
    <w:p w14:paraId="19520ABF" w14:textId="77777777" w:rsidR="00B17EF9" w:rsidRPr="00B17EF9" w:rsidRDefault="00B17EF9" w:rsidP="00B17EF9">
      <w:pPr>
        <w:numPr>
          <w:ilvl w:val="0"/>
          <w:numId w:val="4"/>
        </w:numPr>
        <w:tabs>
          <w:tab w:val="clear" w:pos="360"/>
          <w:tab w:val="num" w:pos="720"/>
        </w:tabs>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Sourcing Information</w:t>
      </w:r>
    </w:p>
    <w:p w14:paraId="7B730ABD"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lastRenderedPageBreak/>
        <w:t>"Sourcing Information" means information relating to supplier identification, procurement planning, sourcing strategies, supplier qualification processes, tender processes, bid evaluations, supplier negotiations, and supplier selection methodologies.</w:t>
      </w:r>
    </w:p>
    <w:p w14:paraId="076FEE33" w14:textId="77777777" w:rsidR="00B17EF9" w:rsidRPr="00B17EF9" w:rsidRDefault="00B17EF9" w:rsidP="00B17EF9">
      <w:pPr>
        <w:numPr>
          <w:ilvl w:val="0"/>
          <w:numId w:val="5"/>
        </w:numPr>
        <w:tabs>
          <w:tab w:val="clear" w:pos="360"/>
          <w:tab w:val="num" w:pos="720"/>
        </w:tabs>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Supply Arrangement</w:t>
      </w:r>
    </w:p>
    <w:p w14:paraId="7FF0E6DD" w14:textId="00CFF3FA"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"Supply Arrangement" means any proposed procurement relationship, supply agreement, framework arrangement, manufacturing arrangement, distribution arrangement, inventory arrangement, logistics arrangement, or sourcing relationship contemplated by the Parties.</w:t>
      </w:r>
    </w:p>
    <w:p w14:paraId="57D59DCD" w14:textId="77777777" w:rsidR="00B17EF9" w:rsidRPr="00B17EF9" w:rsidRDefault="00B17EF9" w:rsidP="00B17EF9">
      <w:pPr>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D. CONFIDENTIAL INFORMATION EXPANSION</w:t>
      </w:r>
    </w:p>
    <w:p w14:paraId="3913A281"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Without limitation, Confidential Information includes:</w:t>
      </w:r>
    </w:p>
    <w:p w14:paraId="414E1152"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(a) sourcing strategies, procurement plans, supply forecasts, inventory forecasts, demand forecasts, and purchasing requirements;</w:t>
      </w:r>
    </w:p>
    <w:p w14:paraId="6AFB4430"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(b) supplier lists, approved supplier databases, procurement records, sourcing analyses, and supplier qualification reports;</w:t>
      </w:r>
    </w:p>
    <w:p w14:paraId="4473D7A1"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(c) manufacturing processes, production capabilities, capacity utilization reports, production schedules, and operational capabilities;</w:t>
      </w:r>
    </w:p>
    <w:p w14:paraId="2B240E6F"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(d) logistics information, transportation arrangements, warehousing arrangements, inventory management systems, distribution networks, and delivery schedules;</w:t>
      </w:r>
    </w:p>
    <w:p w14:paraId="214A9516"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(e) pricing structures, quotations, procurement budgets, sourcing costs, supplier negotiations, rebate structures, and commercial terms;</w:t>
      </w:r>
    </w:p>
    <w:p w14:paraId="454641E3"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(f) quality standards, inspection procedures, testing methodologies, audit reports, certifications, compliance reviews, and quality assurance systems;</w:t>
      </w:r>
    </w:p>
    <w:p w14:paraId="335A7396"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(g) technical specifications, product requirements, material specifications, component specifications, packaging requirements, and delivery standards;</w:t>
      </w:r>
    </w:p>
    <w:p w14:paraId="30111E54"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(h) supply chain risk assessments, contingency plans, business continuity plans, supplier dependency analyses, and supply security strategies;</w:t>
      </w:r>
    </w:p>
    <w:p w14:paraId="1BC55861"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w:t>
      </w:r>
      <w:proofErr w:type="spellStart"/>
      <w:r w:rsidRPr="00B17EF9">
        <w:rPr>
          <w:rFonts w:ascii="Times New Roman" w:hAnsi="Times New Roman" w:cs="Times New Roman"/>
          <w:color w:val="156082" w:themeColor="accent1"/>
        </w:rPr>
        <w:t>i</w:t>
      </w:r>
      <w:proofErr w:type="spellEnd"/>
      <w:r w:rsidRPr="00B17EF9">
        <w:rPr>
          <w:rFonts w:ascii="Times New Roman" w:hAnsi="Times New Roman" w:cs="Times New Roman"/>
          <w:color w:val="156082" w:themeColor="accent1"/>
        </w:rPr>
        <w:t>) contractual arrangements, framework agreements, purchase commitments, volume commitments, service level requirements, and procurement policies; and</w:t>
      </w:r>
    </w:p>
    <w:p w14:paraId="2AD8B45F" w14:textId="647F6AB0"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(j) any other commercial, operational, technical, financial, logistics-related, procurement-related, manufacturing-related, supply chain-related, or proprietary information disclosed in connection with the evaluation, qualification, onboarding, appointment, or management of a Supplier.</w:t>
      </w:r>
    </w:p>
    <w:p w14:paraId="568C78DA" w14:textId="77777777" w:rsidR="00B17EF9" w:rsidRPr="00B17EF9" w:rsidRDefault="00B17EF9" w:rsidP="00B17EF9">
      <w:pPr>
        <w:rPr>
          <w:rFonts w:ascii="Times New Roman" w:hAnsi="Times New Roman" w:cs="Times New Roman"/>
          <w:b/>
          <w:bCs/>
          <w:color w:val="156082" w:themeColor="accent1"/>
        </w:rPr>
      </w:pPr>
      <w:r w:rsidRPr="00B17EF9">
        <w:rPr>
          <w:rFonts w:ascii="Times New Roman" w:hAnsi="Times New Roman" w:cs="Times New Roman"/>
          <w:b/>
          <w:bCs/>
          <w:color w:val="156082" w:themeColor="accent1"/>
        </w:rPr>
        <w:t>E. OPTIONAL INTRODUCED CONTACTS DATASET</w:t>
      </w:r>
    </w:p>
    <w:p w14:paraId="660522F4"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Suppliers</w:t>
      </w:r>
    </w:p>
    <w:p w14:paraId="6E1AC9B9"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Manufacturers</w:t>
      </w:r>
    </w:p>
    <w:p w14:paraId="14B9AB4E"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lastRenderedPageBreak/>
        <w:t>OEMs</w:t>
      </w:r>
    </w:p>
    <w:p w14:paraId="31ED94CC"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Distributors</w:t>
      </w:r>
    </w:p>
    <w:p w14:paraId="02721833"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Wholesalers</w:t>
      </w:r>
    </w:p>
    <w:p w14:paraId="6E1717F1"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Importers</w:t>
      </w:r>
    </w:p>
    <w:p w14:paraId="06FE7A55"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Exporters</w:t>
      </w:r>
    </w:p>
    <w:p w14:paraId="6BA7CA25"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Logistics Providers</w:t>
      </w:r>
    </w:p>
    <w:p w14:paraId="1F02E148"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Freight Forwarders</w:t>
      </w:r>
    </w:p>
    <w:p w14:paraId="4C895A1A"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Warehousing Providers</w:t>
      </w:r>
    </w:p>
    <w:p w14:paraId="4C527435"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Inventory Partners</w:t>
      </w:r>
    </w:p>
    <w:p w14:paraId="1240EA27"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Procurement Agencies</w:t>
      </w:r>
    </w:p>
    <w:p w14:paraId="5F6385ED"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Raw Material Suppliers</w:t>
      </w:r>
    </w:p>
    <w:p w14:paraId="0815B1F0"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Component Suppliers</w:t>
      </w:r>
    </w:p>
    <w:p w14:paraId="4357F9B0"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Equipment Suppliers</w:t>
      </w:r>
    </w:p>
    <w:p w14:paraId="2112A2F1"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Contract Manufacturers</w:t>
      </w:r>
    </w:p>
    <w:p w14:paraId="6301AE65"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Third-Party Logistics Providers (3PL)</w:t>
      </w:r>
    </w:p>
    <w:p w14:paraId="528C5765"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Customers</w:t>
      </w:r>
    </w:p>
    <w:p w14:paraId="6D019D73"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Strategic Partners</w:t>
      </w:r>
    </w:p>
    <w:p w14:paraId="720223DC"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Government Authorities</w:t>
      </w:r>
    </w:p>
    <w:p w14:paraId="57269C17" w14:textId="77777777" w:rsidR="00B17EF9" w:rsidRPr="00B17EF9" w:rsidRDefault="00B17EF9" w:rsidP="00B17EF9">
      <w:pPr>
        <w:rPr>
          <w:rFonts w:ascii="Times New Roman" w:hAnsi="Times New Roman" w:cs="Times New Roman"/>
          <w:color w:val="156082" w:themeColor="accent1"/>
        </w:rPr>
      </w:pPr>
      <w:r w:rsidRPr="00B17EF9">
        <w:rPr>
          <w:rFonts w:ascii="Times New Roman" w:hAnsi="Times New Roman" w:cs="Times New Roman"/>
          <w:color w:val="156082" w:themeColor="accent1"/>
        </w:rPr>
        <w:t>Regulatory Authorities</w:t>
      </w:r>
    </w:p>
    <w:p w14:paraId="76047EFE" w14:textId="77777777" w:rsidR="00B17EF9" w:rsidRPr="00B17EF9" w:rsidRDefault="00B17EF9" w:rsidP="00B17EF9">
      <w:pPr>
        <w:rPr>
          <w:rFonts w:ascii="Times New Roman" w:hAnsi="Times New Roman" w:cs="Times New Roman"/>
          <w:color w:val="156082" w:themeColor="accent1"/>
        </w:rPr>
      </w:pPr>
    </w:p>
    <w:sectPr w:rsidR="00B17EF9" w:rsidRPr="00B17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11C0"/>
    <w:multiLevelType w:val="multilevel"/>
    <w:tmpl w:val="43581A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585155B4"/>
    <w:multiLevelType w:val="multilevel"/>
    <w:tmpl w:val="4F189EB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0C83320"/>
    <w:multiLevelType w:val="multilevel"/>
    <w:tmpl w:val="0C64D94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08F6EA2"/>
    <w:multiLevelType w:val="multilevel"/>
    <w:tmpl w:val="3A1CB0D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A8B69FC"/>
    <w:multiLevelType w:val="multilevel"/>
    <w:tmpl w:val="590A626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42161424">
    <w:abstractNumId w:val="0"/>
  </w:num>
  <w:num w:numId="2" w16cid:durableId="309866768">
    <w:abstractNumId w:val="3"/>
  </w:num>
  <w:num w:numId="3" w16cid:durableId="2098674263">
    <w:abstractNumId w:val="2"/>
  </w:num>
  <w:num w:numId="4" w16cid:durableId="415518117">
    <w:abstractNumId w:val="1"/>
  </w:num>
  <w:num w:numId="5" w16cid:durableId="1354379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EF9"/>
    <w:rsid w:val="007B07C1"/>
    <w:rsid w:val="00B17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96D11"/>
  <w15:chartTrackingRefBased/>
  <w15:docId w15:val="{1F7E8C84-6AE1-479A-9AB0-EC522FE8A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EF9"/>
    <w:rPr>
      <w:rFonts w:eastAsiaTheme="majorEastAsia" w:cstheme="majorBidi"/>
      <w:color w:val="272727" w:themeColor="text1" w:themeTint="D8"/>
    </w:rPr>
  </w:style>
  <w:style w:type="paragraph" w:styleId="Title">
    <w:name w:val="Title"/>
    <w:basedOn w:val="Normal"/>
    <w:next w:val="Normal"/>
    <w:link w:val="TitleChar"/>
    <w:uiPriority w:val="10"/>
    <w:qFormat/>
    <w:rsid w:val="00B1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EF9"/>
    <w:pPr>
      <w:spacing w:before="160"/>
      <w:jc w:val="center"/>
    </w:pPr>
    <w:rPr>
      <w:i/>
      <w:iCs/>
      <w:color w:val="404040" w:themeColor="text1" w:themeTint="BF"/>
    </w:rPr>
  </w:style>
  <w:style w:type="character" w:customStyle="1" w:styleId="QuoteChar">
    <w:name w:val="Quote Char"/>
    <w:basedOn w:val="DefaultParagraphFont"/>
    <w:link w:val="Quote"/>
    <w:uiPriority w:val="29"/>
    <w:rsid w:val="00B17EF9"/>
    <w:rPr>
      <w:i/>
      <w:iCs/>
      <w:color w:val="404040" w:themeColor="text1" w:themeTint="BF"/>
    </w:rPr>
  </w:style>
  <w:style w:type="paragraph" w:styleId="ListParagraph">
    <w:name w:val="List Paragraph"/>
    <w:basedOn w:val="Normal"/>
    <w:uiPriority w:val="34"/>
    <w:qFormat/>
    <w:rsid w:val="00B17EF9"/>
    <w:pPr>
      <w:ind w:left="720"/>
      <w:contextualSpacing/>
    </w:pPr>
  </w:style>
  <w:style w:type="character" w:styleId="IntenseEmphasis">
    <w:name w:val="Intense Emphasis"/>
    <w:basedOn w:val="DefaultParagraphFont"/>
    <w:uiPriority w:val="21"/>
    <w:qFormat/>
    <w:rsid w:val="00B17EF9"/>
    <w:rPr>
      <w:i/>
      <w:iCs/>
      <w:color w:val="0F4761" w:themeColor="accent1" w:themeShade="BF"/>
    </w:rPr>
  </w:style>
  <w:style w:type="paragraph" w:styleId="IntenseQuote">
    <w:name w:val="Intense Quote"/>
    <w:basedOn w:val="Normal"/>
    <w:next w:val="Normal"/>
    <w:link w:val="IntenseQuoteChar"/>
    <w:uiPriority w:val="30"/>
    <w:qFormat/>
    <w:rsid w:val="00B17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EF9"/>
    <w:rPr>
      <w:i/>
      <w:iCs/>
      <w:color w:val="0F4761" w:themeColor="accent1" w:themeShade="BF"/>
    </w:rPr>
  </w:style>
  <w:style w:type="character" w:styleId="IntenseReference">
    <w:name w:val="Intense Reference"/>
    <w:basedOn w:val="DefaultParagraphFont"/>
    <w:uiPriority w:val="32"/>
    <w:qFormat/>
    <w:rsid w:val="00B17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2026-06-09T11:54:00Z</dcterms:created>
  <dcterms:modified xsi:type="dcterms:W3CDTF">2026-06-09T11:57:00Z</dcterms:modified>
</cp:coreProperties>
</file>