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DD4E" w14:textId="67930800" w:rsidR="003E01A0" w:rsidRPr="003E01A0" w:rsidRDefault="003E01A0" w:rsidP="003E01A0">
      <w:pPr>
        <w:jc w:val="center"/>
        <w:rPr>
          <w:rFonts w:ascii="Times New Roman" w:hAnsi="Times New Roman" w:cs="Times New Roman"/>
          <w:b/>
          <w:bCs/>
          <w:color w:val="156082" w:themeColor="accent1"/>
          <w:u w:val="single"/>
        </w:rPr>
      </w:pPr>
      <w:r w:rsidRPr="003E01A0">
        <w:rPr>
          <w:rFonts w:ascii="Times New Roman" w:hAnsi="Times New Roman" w:cs="Times New Roman"/>
          <w:b/>
          <w:bCs/>
          <w:color w:val="156082" w:themeColor="accent1"/>
          <w:u w:val="single"/>
        </w:rPr>
        <w:t>GC-09 – COMMERCIAL DUE DILIGENCE</w:t>
      </w:r>
    </w:p>
    <w:p w14:paraId="6D8A6DE1" w14:textId="77777777" w:rsidR="003E01A0" w:rsidRPr="003E01A0" w:rsidRDefault="003E01A0" w:rsidP="003E01A0">
      <w:p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PURPOSE PACK #9 – COMMERCIAL DUE DILIGENCE</w:t>
      </w:r>
    </w:p>
    <w:p w14:paraId="72A63DD5" w14:textId="77777777" w:rsidR="003E01A0" w:rsidRPr="003E01A0" w:rsidRDefault="003E01A0" w:rsidP="003E01A0">
      <w:p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A. PURPOSE DEFINITION</w:t>
      </w:r>
    </w:p>
    <w:p w14:paraId="64D78D0D" w14:textId="38EBF63D"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"Purpose" means the evaluation, review, assessment, verification, investigation, analysis, and conduct of commercial due diligence in connection with a proposed transaction, investment, acquisition, financing, partnership, strategic relationship, procurement arrangement, or other business opportunity.</w:t>
      </w:r>
    </w:p>
    <w:p w14:paraId="3C4B148C" w14:textId="77777777" w:rsidR="003E01A0" w:rsidRPr="003E01A0" w:rsidRDefault="003E01A0" w:rsidP="003E01A0">
      <w:p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B. RECITAL VARIANT</w:t>
      </w:r>
    </w:p>
    <w:p w14:paraId="27601D1F" w14:textId="77777777" w:rsidR="003E01A0" w:rsidRPr="003E01A0" w:rsidRDefault="003E01A0" w:rsidP="003E01A0">
      <w:pPr>
        <w:jc w:val="both"/>
        <w:rPr>
          <w:rFonts w:ascii="Times New Roman" w:hAnsi="Times New Roman" w:cs="Times New Roman"/>
          <w:color w:val="156082" w:themeColor="accent1"/>
        </w:rPr>
      </w:pPr>
      <w:proofErr w:type="gramStart"/>
      <w:r w:rsidRPr="003E01A0">
        <w:rPr>
          <w:rFonts w:ascii="Times New Roman" w:hAnsi="Times New Roman" w:cs="Times New Roman"/>
          <w:color w:val="156082" w:themeColor="accent1"/>
        </w:rPr>
        <w:t>WHEREAS,</w:t>
      </w:r>
      <w:proofErr w:type="gramEnd"/>
      <w:r w:rsidRPr="003E01A0">
        <w:rPr>
          <w:rFonts w:ascii="Times New Roman" w:hAnsi="Times New Roman" w:cs="Times New Roman"/>
          <w:color w:val="156082" w:themeColor="accent1"/>
        </w:rPr>
        <w:t xml:space="preserve"> the Parties desire to evaluate and conduct commercial due diligence in relation to a proposed transaction, investment, partnership, acquisition, financing arrangement, commercial opportunity, or business relationship;</w:t>
      </w:r>
    </w:p>
    <w:p w14:paraId="2D49F512"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WHEREAS, in connection with such due diligence activities, the Parties may disclose and exchange confidential commercial, financial, operational, technical, strategic, legal, compliance, and proprietary information;</w:t>
      </w:r>
    </w:p>
    <w:p w14:paraId="30790B10" w14:textId="7560B1EE" w:rsidR="003E01A0" w:rsidRPr="003E01A0" w:rsidRDefault="003E01A0" w:rsidP="003E01A0">
      <w:pPr>
        <w:jc w:val="both"/>
        <w:rPr>
          <w:rFonts w:ascii="Times New Roman" w:hAnsi="Times New Roman" w:cs="Times New Roman"/>
          <w:color w:val="156082" w:themeColor="accent1"/>
        </w:rPr>
      </w:pPr>
      <w:proofErr w:type="gramStart"/>
      <w:r w:rsidRPr="003E01A0">
        <w:rPr>
          <w:rFonts w:ascii="Times New Roman" w:hAnsi="Times New Roman" w:cs="Times New Roman"/>
          <w:color w:val="156082" w:themeColor="accent1"/>
        </w:rPr>
        <w:t>WHEREAS,</w:t>
      </w:r>
      <w:proofErr w:type="gramEnd"/>
      <w:r w:rsidRPr="003E01A0">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2EAA209B" w14:textId="77777777" w:rsidR="003E01A0" w:rsidRPr="003E01A0" w:rsidRDefault="003E01A0" w:rsidP="003E01A0">
      <w:p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C. ADDITIONAL DEFINITIONS</w:t>
      </w:r>
    </w:p>
    <w:p w14:paraId="4FB1B233" w14:textId="77777777" w:rsidR="003E01A0" w:rsidRPr="003E01A0" w:rsidRDefault="003E01A0" w:rsidP="003E01A0">
      <w:pPr>
        <w:numPr>
          <w:ilvl w:val="0"/>
          <w:numId w:val="6"/>
        </w:num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Due Diligence Information</w:t>
      </w:r>
    </w:p>
    <w:p w14:paraId="6F0E2AD6"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"Due Diligence Information" means any information, document, material, report, record, analysis, presentation, data room content, correspondence, or other information disclosed, reviewed, exchanged, or generated in connection with the conduct of due diligence.</w:t>
      </w:r>
    </w:p>
    <w:p w14:paraId="0D8E4B8E" w14:textId="77777777" w:rsidR="003E01A0" w:rsidRPr="003E01A0" w:rsidRDefault="003E01A0" w:rsidP="003E01A0">
      <w:pPr>
        <w:numPr>
          <w:ilvl w:val="0"/>
          <w:numId w:val="7"/>
        </w:num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Data Room</w:t>
      </w:r>
    </w:p>
    <w:p w14:paraId="26F54B26"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"Data Room" means any physical or virtual repository, platform, portal, storage environment, electronic system, or information-sharing mechanism used to provide access to Due Diligence Information.</w:t>
      </w:r>
    </w:p>
    <w:p w14:paraId="2B50AC00" w14:textId="77777777" w:rsidR="003E01A0" w:rsidRPr="003E01A0" w:rsidRDefault="003E01A0" w:rsidP="003E01A0">
      <w:pPr>
        <w:numPr>
          <w:ilvl w:val="0"/>
          <w:numId w:val="8"/>
        </w:num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Target Business</w:t>
      </w:r>
    </w:p>
    <w:p w14:paraId="50E34282"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"Target Business" means the business, undertaking, division, project, operation, assets, entity, investment opportunity, commercial opportunity, or transaction subject to the due diligence review.</w:t>
      </w:r>
    </w:p>
    <w:p w14:paraId="397B4C25" w14:textId="77777777" w:rsidR="003E01A0" w:rsidRPr="003E01A0" w:rsidRDefault="003E01A0" w:rsidP="003E01A0">
      <w:pPr>
        <w:numPr>
          <w:ilvl w:val="0"/>
          <w:numId w:val="9"/>
        </w:num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Evaluation Materials</w:t>
      </w:r>
    </w:p>
    <w:p w14:paraId="4A24F5E4"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"Evaluation Materials" means all analyses, compilations, notes, summaries, reports, memoranda, studies, models, presentations, assessments, and other materials prepared by or on behalf of a Party that contain, reflect, are based upon, or otherwise incorporate Due Diligence Information.</w:t>
      </w:r>
    </w:p>
    <w:p w14:paraId="06FA0C7D" w14:textId="77777777" w:rsidR="003E01A0" w:rsidRPr="003E01A0" w:rsidRDefault="003E01A0" w:rsidP="003E01A0">
      <w:pPr>
        <w:numPr>
          <w:ilvl w:val="0"/>
          <w:numId w:val="10"/>
        </w:num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Commercial Due Diligence</w:t>
      </w:r>
    </w:p>
    <w:p w14:paraId="2AEEE330" w14:textId="3FECEA99"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lastRenderedPageBreak/>
        <w:t>"Commercial Due Diligence" means the review, verification, investigation, assessment, and evaluation of the commercial, operational, strategic, market, customer, supplier, competitive, and business aspects of the Target Business.</w:t>
      </w:r>
    </w:p>
    <w:p w14:paraId="298E7265" w14:textId="77777777" w:rsidR="003E01A0" w:rsidRPr="003E01A0" w:rsidRDefault="003E01A0" w:rsidP="003E01A0">
      <w:p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D. CONFIDENTIAL INFORMATION EXPANSION</w:t>
      </w:r>
    </w:p>
    <w:p w14:paraId="58C74AE1"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Without limitation, Confidential Information includes:</w:t>
      </w:r>
    </w:p>
    <w:p w14:paraId="709090CC"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(a) corporate records, organizational information, ownership information, group structures, and business profiles;</w:t>
      </w:r>
    </w:p>
    <w:p w14:paraId="750FD3FF"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(b) customer information, customer contracts, customer concentration analyses, customer retention information, customer acquisition strategies, and customer performance data;</w:t>
      </w:r>
    </w:p>
    <w:p w14:paraId="7B44E16F"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(c) supplier information, procurement information, vendor contracts, sourcing arrangements, supply chain information, and procurement strategies;</w:t>
      </w:r>
    </w:p>
    <w:p w14:paraId="1C894CA6"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(d) business plans, strategic plans, expansion plans, growth initiatives, market entry strategies, and business development initiatives;</w:t>
      </w:r>
    </w:p>
    <w:p w14:paraId="5A4E3061"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(e) financial statements, management accounts, budgets, forecasts, revenue reports, profitability analyses, and financial models;</w:t>
      </w:r>
    </w:p>
    <w:p w14:paraId="04A2DC4C"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(f) operational information, business processes, workflows, operational reports, operational performance metrics, and management information;</w:t>
      </w:r>
    </w:p>
    <w:p w14:paraId="76EA0807"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(g) market studies, market intelligence, industry reports, competitive analyses, benchmarking studies, and commercial assessments;</w:t>
      </w:r>
    </w:p>
    <w:p w14:paraId="0B42EC22"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(h) pricing information, commercial terms, contract structures, commercial arrangements, procurement arrangements, and negotiation materials;</w:t>
      </w:r>
    </w:p>
    <w:p w14:paraId="216983EF"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w:t>
      </w:r>
      <w:proofErr w:type="spellStart"/>
      <w:r w:rsidRPr="003E01A0">
        <w:rPr>
          <w:rFonts w:ascii="Times New Roman" w:hAnsi="Times New Roman" w:cs="Times New Roman"/>
          <w:color w:val="156082" w:themeColor="accent1"/>
        </w:rPr>
        <w:t>i</w:t>
      </w:r>
      <w:proofErr w:type="spellEnd"/>
      <w:r w:rsidRPr="003E01A0">
        <w:rPr>
          <w:rFonts w:ascii="Times New Roman" w:hAnsi="Times New Roman" w:cs="Times New Roman"/>
          <w:color w:val="156082" w:themeColor="accent1"/>
        </w:rPr>
        <w:t>) regulatory information, compliance information, licenses, permits, certifications, internal policies, and compliance assessments;</w:t>
      </w:r>
    </w:p>
    <w:p w14:paraId="67F72869"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(j) risk assessments, audit reports, internal reviews, business continuity plans, contingency plans, and operational assessments;</w:t>
      </w:r>
    </w:p>
    <w:p w14:paraId="0FD63404"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(k) intellectual property information, proprietary methodologies, trade secrets, know-how, technology assets, and commercialization information;</w:t>
      </w:r>
    </w:p>
    <w:p w14:paraId="27963833"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(l) information contained within any Data Room, virtual data room, management presentation, due diligence report, information memorandum, or transaction document; and</w:t>
      </w:r>
    </w:p>
    <w:p w14:paraId="3D20CD23" w14:textId="3B986C25"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(m) any other commercial, operational, financial, strategic, technical, compliance-related, legal, regulatory, or proprietary information disclosed in connection with the Commercial Due Diligence process.</w:t>
      </w:r>
    </w:p>
    <w:p w14:paraId="2E6A83EB" w14:textId="77777777" w:rsidR="003E01A0" w:rsidRPr="003E01A0" w:rsidRDefault="003E01A0" w:rsidP="003E01A0">
      <w:pPr>
        <w:jc w:val="both"/>
        <w:rPr>
          <w:rFonts w:ascii="Times New Roman" w:hAnsi="Times New Roman" w:cs="Times New Roman"/>
          <w:b/>
          <w:bCs/>
          <w:color w:val="156082" w:themeColor="accent1"/>
        </w:rPr>
      </w:pPr>
      <w:r w:rsidRPr="003E01A0">
        <w:rPr>
          <w:rFonts w:ascii="Times New Roman" w:hAnsi="Times New Roman" w:cs="Times New Roman"/>
          <w:b/>
          <w:bCs/>
          <w:color w:val="156082" w:themeColor="accent1"/>
        </w:rPr>
        <w:t>E. OPTIONAL INTRODUCED CONTACTS DATASET</w:t>
      </w:r>
    </w:p>
    <w:p w14:paraId="47539DCC"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Customers</w:t>
      </w:r>
    </w:p>
    <w:p w14:paraId="6DD96343"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lastRenderedPageBreak/>
        <w:t>Key Customers</w:t>
      </w:r>
    </w:p>
    <w:p w14:paraId="47C1FE78"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Suppliers</w:t>
      </w:r>
    </w:p>
    <w:p w14:paraId="784C289E"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Vendors</w:t>
      </w:r>
    </w:p>
    <w:p w14:paraId="1CBF2C3D"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Distributors</w:t>
      </w:r>
    </w:p>
    <w:p w14:paraId="6D10D6EE"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Strategic Partners</w:t>
      </w:r>
    </w:p>
    <w:p w14:paraId="3A126032"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Investors</w:t>
      </w:r>
    </w:p>
    <w:p w14:paraId="6E014231"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Lenders</w:t>
      </w:r>
    </w:p>
    <w:p w14:paraId="41553E72"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Financial Institutions</w:t>
      </w:r>
    </w:p>
    <w:p w14:paraId="7E4983F0"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Auditors</w:t>
      </w:r>
    </w:p>
    <w:p w14:paraId="655776EF"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Legal Advisors</w:t>
      </w:r>
    </w:p>
    <w:p w14:paraId="677AACA0"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Financial Advisors</w:t>
      </w:r>
    </w:p>
    <w:p w14:paraId="683D755A"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Commercial Advisors</w:t>
      </w:r>
    </w:p>
    <w:p w14:paraId="18CBE7DF"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Industry Experts</w:t>
      </w:r>
    </w:p>
    <w:p w14:paraId="618B183F"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Management Personnel</w:t>
      </w:r>
    </w:p>
    <w:p w14:paraId="302E189B"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Promoters</w:t>
      </w:r>
    </w:p>
    <w:p w14:paraId="7372C57A"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Shareholders</w:t>
      </w:r>
    </w:p>
    <w:p w14:paraId="150ECAFD"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Government Authorities</w:t>
      </w:r>
    </w:p>
    <w:p w14:paraId="738E1483"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Regulatory Authorities</w:t>
      </w:r>
    </w:p>
    <w:p w14:paraId="2CB5E62B"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Industry Associations</w:t>
      </w:r>
    </w:p>
    <w:p w14:paraId="594BCDC5" w14:textId="77777777" w:rsidR="003E01A0" w:rsidRPr="003E01A0" w:rsidRDefault="003E01A0" w:rsidP="003E01A0">
      <w:pPr>
        <w:jc w:val="both"/>
        <w:rPr>
          <w:rFonts w:ascii="Times New Roman" w:hAnsi="Times New Roman" w:cs="Times New Roman"/>
          <w:color w:val="156082" w:themeColor="accent1"/>
        </w:rPr>
      </w:pPr>
      <w:r w:rsidRPr="003E01A0">
        <w:rPr>
          <w:rFonts w:ascii="Times New Roman" w:hAnsi="Times New Roman" w:cs="Times New Roman"/>
          <w:color w:val="156082" w:themeColor="accent1"/>
        </w:rPr>
        <w:t>Commercial Counterparties</w:t>
      </w:r>
    </w:p>
    <w:p w14:paraId="33916B4A" w14:textId="77777777" w:rsidR="003E01A0" w:rsidRPr="003E01A0" w:rsidRDefault="003E01A0" w:rsidP="003E01A0">
      <w:pPr>
        <w:jc w:val="both"/>
        <w:rPr>
          <w:rFonts w:ascii="Times New Roman" w:hAnsi="Times New Roman" w:cs="Times New Roman"/>
          <w:color w:val="156082" w:themeColor="accent1"/>
        </w:rPr>
      </w:pPr>
    </w:p>
    <w:sectPr w:rsidR="003E01A0" w:rsidRPr="003E0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567"/>
    <w:multiLevelType w:val="multilevel"/>
    <w:tmpl w:val="FF9226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15DFB"/>
    <w:multiLevelType w:val="multilevel"/>
    <w:tmpl w:val="46629BB6"/>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030294D"/>
    <w:multiLevelType w:val="multilevel"/>
    <w:tmpl w:val="6A0A7D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445525C"/>
    <w:multiLevelType w:val="multilevel"/>
    <w:tmpl w:val="ADB2102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F0F16FD"/>
    <w:multiLevelType w:val="multilevel"/>
    <w:tmpl w:val="42B2FF3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16F60F0"/>
    <w:multiLevelType w:val="multilevel"/>
    <w:tmpl w:val="2F1250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312984"/>
    <w:multiLevelType w:val="multilevel"/>
    <w:tmpl w:val="E504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9D5B0C"/>
    <w:multiLevelType w:val="multilevel"/>
    <w:tmpl w:val="39885FE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7DE6E86"/>
    <w:multiLevelType w:val="multilevel"/>
    <w:tmpl w:val="B6B4AB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F10AAE"/>
    <w:multiLevelType w:val="multilevel"/>
    <w:tmpl w:val="D35C25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427899">
    <w:abstractNumId w:val="6"/>
  </w:num>
  <w:num w:numId="2" w16cid:durableId="1862553344">
    <w:abstractNumId w:val="9"/>
  </w:num>
  <w:num w:numId="3" w16cid:durableId="1132675633">
    <w:abstractNumId w:val="8"/>
  </w:num>
  <w:num w:numId="4" w16cid:durableId="553203423">
    <w:abstractNumId w:val="0"/>
  </w:num>
  <w:num w:numId="5" w16cid:durableId="1550343353">
    <w:abstractNumId w:val="5"/>
  </w:num>
  <w:num w:numId="6" w16cid:durableId="1567376500">
    <w:abstractNumId w:val="2"/>
  </w:num>
  <w:num w:numId="7" w16cid:durableId="837043228">
    <w:abstractNumId w:val="7"/>
  </w:num>
  <w:num w:numId="8" w16cid:durableId="906766468">
    <w:abstractNumId w:val="4"/>
  </w:num>
  <w:num w:numId="9" w16cid:durableId="1133988728">
    <w:abstractNumId w:val="3"/>
  </w:num>
  <w:num w:numId="10" w16cid:durableId="226960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1A0"/>
    <w:rsid w:val="003E01A0"/>
    <w:rsid w:val="007B0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68A7"/>
  <w15:chartTrackingRefBased/>
  <w15:docId w15:val="{230A62A1-310E-4700-BEFF-A59E2CC29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1A0"/>
    <w:rPr>
      <w:rFonts w:eastAsiaTheme="majorEastAsia" w:cstheme="majorBidi"/>
      <w:color w:val="272727" w:themeColor="text1" w:themeTint="D8"/>
    </w:rPr>
  </w:style>
  <w:style w:type="paragraph" w:styleId="Title">
    <w:name w:val="Title"/>
    <w:basedOn w:val="Normal"/>
    <w:next w:val="Normal"/>
    <w:link w:val="TitleChar"/>
    <w:uiPriority w:val="10"/>
    <w:qFormat/>
    <w:rsid w:val="003E0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1A0"/>
    <w:pPr>
      <w:spacing w:before="160"/>
      <w:jc w:val="center"/>
    </w:pPr>
    <w:rPr>
      <w:i/>
      <w:iCs/>
      <w:color w:val="404040" w:themeColor="text1" w:themeTint="BF"/>
    </w:rPr>
  </w:style>
  <w:style w:type="character" w:customStyle="1" w:styleId="QuoteChar">
    <w:name w:val="Quote Char"/>
    <w:basedOn w:val="DefaultParagraphFont"/>
    <w:link w:val="Quote"/>
    <w:uiPriority w:val="29"/>
    <w:rsid w:val="003E01A0"/>
    <w:rPr>
      <w:i/>
      <w:iCs/>
      <w:color w:val="404040" w:themeColor="text1" w:themeTint="BF"/>
    </w:rPr>
  </w:style>
  <w:style w:type="paragraph" w:styleId="ListParagraph">
    <w:name w:val="List Paragraph"/>
    <w:basedOn w:val="Normal"/>
    <w:uiPriority w:val="34"/>
    <w:qFormat/>
    <w:rsid w:val="003E01A0"/>
    <w:pPr>
      <w:ind w:left="720"/>
      <w:contextualSpacing/>
    </w:pPr>
  </w:style>
  <w:style w:type="character" w:styleId="IntenseEmphasis">
    <w:name w:val="Intense Emphasis"/>
    <w:basedOn w:val="DefaultParagraphFont"/>
    <w:uiPriority w:val="21"/>
    <w:qFormat/>
    <w:rsid w:val="003E01A0"/>
    <w:rPr>
      <w:i/>
      <w:iCs/>
      <w:color w:val="0F4761" w:themeColor="accent1" w:themeShade="BF"/>
    </w:rPr>
  </w:style>
  <w:style w:type="paragraph" w:styleId="IntenseQuote">
    <w:name w:val="Intense Quote"/>
    <w:basedOn w:val="Normal"/>
    <w:next w:val="Normal"/>
    <w:link w:val="IntenseQuoteChar"/>
    <w:uiPriority w:val="30"/>
    <w:qFormat/>
    <w:rsid w:val="003E0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1A0"/>
    <w:rPr>
      <w:i/>
      <w:iCs/>
      <w:color w:val="0F4761" w:themeColor="accent1" w:themeShade="BF"/>
    </w:rPr>
  </w:style>
  <w:style w:type="character" w:styleId="IntenseReference">
    <w:name w:val="Intense Reference"/>
    <w:basedOn w:val="DefaultParagraphFont"/>
    <w:uiPriority w:val="32"/>
    <w:qFormat/>
    <w:rsid w:val="003E01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2026-06-09T12:15:00Z</dcterms:created>
  <dcterms:modified xsi:type="dcterms:W3CDTF">2026-06-09T12:18:00Z</dcterms:modified>
</cp:coreProperties>
</file>