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5E1F" w14:textId="05110E83" w:rsidR="00B66DDF" w:rsidRDefault="00B66DDF" w:rsidP="00B66DDF">
      <w:pPr>
        <w:jc w:val="center"/>
        <w:rPr>
          <w:rFonts w:ascii="Times New Roman" w:hAnsi="Times New Roman" w:cs="Times New Roman"/>
          <w:b/>
          <w:bCs/>
          <w:color w:val="156082" w:themeColor="accent1"/>
          <w:u w:val="single"/>
        </w:rPr>
      </w:pPr>
      <w:r w:rsidRPr="00B66DDF">
        <w:rPr>
          <w:rFonts w:ascii="Times New Roman" w:hAnsi="Times New Roman" w:cs="Times New Roman"/>
          <w:b/>
          <w:bCs/>
          <w:color w:val="156082" w:themeColor="accent1"/>
          <w:u w:val="single"/>
        </w:rPr>
        <w:t>GC-14 – DISTRIBUTION DISCUSSIONS</w:t>
      </w:r>
    </w:p>
    <w:p w14:paraId="254075CC" w14:textId="77777777" w:rsidR="00B66DDF" w:rsidRPr="00B66DDF" w:rsidRDefault="00B66DDF" w:rsidP="00B66DDF">
      <w:pPr>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PURPOSE PACK #14 – DISTRIBUTION DISCUSSIONS</w:t>
      </w:r>
    </w:p>
    <w:p w14:paraId="34F3D532" w14:textId="77777777" w:rsidR="00B66DDF" w:rsidRPr="00B66DDF" w:rsidRDefault="00B66DDF" w:rsidP="00B66DDF">
      <w:pPr>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A. PURPOSE DEFINITION</w:t>
      </w:r>
    </w:p>
    <w:p w14:paraId="7A64DF53" w14:textId="6A152B75"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"Purpose" means the evaluation, discussion, negotiation, structuring, establishment, management, or potential implementation of a distribution arrangement, dealership arrangement, reseller arrangement, channel partnership, market expansion strategy, commercialization arrangement, or other product or service distribution relationship between the Parties.</w:t>
      </w:r>
    </w:p>
    <w:p w14:paraId="0AD86413" w14:textId="77777777" w:rsidR="00B66DDF" w:rsidRPr="00B66DDF" w:rsidRDefault="00B66DDF" w:rsidP="00B66DDF">
      <w:pPr>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B. RECITAL VARIANT</w:t>
      </w:r>
    </w:p>
    <w:p w14:paraId="2A83D631" w14:textId="77777777" w:rsidR="00B66DDF" w:rsidRPr="00B66DDF" w:rsidRDefault="00B66DDF" w:rsidP="00B66DDF">
      <w:pPr>
        <w:jc w:val="both"/>
        <w:rPr>
          <w:rFonts w:ascii="Times New Roman" w:hAnsi="Times New Roman" w:cs="Times New Roman"/>
          <w:color w:val="156082" w:themeColor="accent1"/>
        </w:rPr>
      </w:pPr>
      <w:proofErr w:type="gramStart"/>
      <w:r w:rsidRPr="00B66DDF">
        <w:rPr>
          <w:rFonts w:ascii="Times New Roman" w:hAnsi="Times New Roman" w:cs="Times New Roman"/>
          <w:color w:val="156082" w:themeColor="accent1"/>
        </w:rPr>
        <w:t>WHEREAS,</w:t>
      </w:r>
      <w:proofErr w:type="gramEnd"/>
      <w:r w:rsidRPr="00B66DDF">
        <w:rPr>
          <w:rFonts w:ascii="Times New Roman" w:hAnsi="Times New Roman" w:cs="Times New Roman"/>
          <w:color w:val="156082" w:themeColor="accent1"/>
        </w:rPr>
        <w:t xml:space="preserve"> the Parties desire to evaluate and discuss a potential distribution arrangement, dealership relationship, reseller partnership, channel partner arrangement, commercialization strategy, or market expansion opportunity;</w:t>
      </w:r>
    </w:p>
    <w:p w14:paraId="1EBCCC80"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WHEREAS, in connection with such discussions and negotiations, the Parties may disclose and exchange confidential commercial, financial, operational, marketing, strategic, technical, and proprietary information;</w:t>
      </w:r>
    </w:p>
    <w:p w14:paraId="6D74C9EA" w14:textId="7A240695" w:rsidR="00B66DDF" w:rsidRPr="00B66DDF" w:rsidRDefault="00B66DDF" w:rsidP="00B66DDF">
      <w:pPr>
        <w:jc w:val="both"/>
        <w:rPr>
          <w:rFonts w:ascii="Times New Roman" w:hAnsi="Times New Roman" w:cs="Times New Roman"/>
          <w:color w:val="156082" w:themeColor="accent1"/>
        </w:rPr>
      </w:pPr>
      <w:proofErr w:type="gramStart"/>
      <w:r w:rsidRPr="00B66DDF">
        <w:rPr>
          <w:rFonts w:ascii="Times New Roman" w:hAnsi="Times New Roman" w:cs="Times New Roman"/>
          <w:color w:val="156082" w:themeColor="accent1"/>
        </w:rPr>
        <w:t>WHEREAS,</w:t>
      </w:r>
      <w:proofErr w:type="gramEnd"/>
      <w:r w:rsidRPr="00B66DD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4731AB5" w14:textId="77777777" w:rsidR="00B66DDF" w:rsidRPr="00B66DDF" w:rsidRDefault="00B66DDF" w:rsidP="00B66DDF">
      <w:pPr>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C. ADDITIONAL DEFINITIONS</w:t>
      </w:r>
    </w:p>
    <w:p w14:paraId="3ED45F9B" w14:textId="77777777" w:rsidR="00B66DDF" w:rsidRPr="00B66DDF" w:rsidRDefault="00B66DDF" w:rsidP="00B66DDF">
      <w:pPr>
        <w:numPr>
          <w:ilvl w:val="0"/>
          <w:numId w:val="1"/>
        </w:numPr>
        <w:tabs>
          <w:tab w:val="clear" w:pos="360"/>
          <w:tab w:val="num" w:pos="720"/>
        </w:tabs>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Distributor</w:t>
      </w:r>
    </w:p>
    <w:p w14:paraId="74648C94"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"Distributor" means any entity authorized or proposed to be authorized to market, promote, distribute, sell, supply, commercialize, or otherwise deal in products or services of another Party within a specified territory or market.</w:t>
      </w:r>
    </w:p>
    <w:p w14:paraId="507210B6" w14:textId="77777777" w:rsidR="00B66DDF" w:rsidRPr="00B66DDF" w:rsidRDefault="00B66DDF" w:rsidP="00B66DDF">
      <w:pPr>
        <w:numPr>
          <w:ilvl w:val="0"/>
          <w:numId w:val="2"/>
        </w:numPr>
        <w:tabs>
          <w:tab w:val="clear" w:pos="360"/>
          <w:tab w:val="num" w:pos="720"/>
        </w:tabs>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Distribution Network</w:t>
      </w:r>
    </w:p>
    <w:p w14:paraId="42F7F534"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"Distribution Network" means the distribution channels, sales channels, dealers, resellers, agents, channel partners, logistics partners, and other commercial participants involved in the marketing, sale, supply, or distribution of products or services.</w:t>
      </w:r>
    </w:p>
    <w:p w14:paraId="3D8692A0" w14:textId="77777777" w:rsidR="00B66DDF" w:rsidRPr="00B66DDF" w:rsidRDefault="00B66DDF" w:rsidP="00B66DDF">
      <w:pPr>
        <w:numPr>
          <w:ilvl w:val="0"/>
          <w:numId w:val="3"/>
        </w:numPr>
        <w:tabs>
          <w:tab w:val="clear" w:pos="360"/>
          <w:tab w:val="num" w:pos="720"/>
        </w:tabs>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Territory</w:t>
      </w:r>
    </w:p>
    <w:p w14:paraId="6EB3C995"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"Territory" means the geographical area, market segment, customer segment, industry sector, or commercial region allocated or proposed to be allocated for the distribution, sale, promotion, or commercialization of products or services.</w:t>
      </w:r>
    </w:p>
    <w:p w14:paraId="02494195" w14:textId="77777777" w:rsidR="00B66DDF" w:rsidRPr="00B66DDF" w:rsidRDefault="00B66DDF" w:rsidP="00B66DDF">
      <w:pPr>
        <w:numPr>
          <w:ilvl w:val="0"/>
          <w:numId w:val="4"/>
        </w:numPr>
        <w:tabs>
          <w:tab w:val="clear" w:pos="360"/>
          <w:tab w:val="num" w:pos="720"/>
        </w:tabs>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Channel Partner</w:t>
      </w:r>
    </w:p>
    <w:p w14:paraId="4F65ACB2"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"Channel Partner" means any distributor, reseller, dealer, value-added reseller, sales representative, agent, marketing partner, referral partner, or other intermediary involved in the distribution or commercialization of products or services.</w:t>
      </w:r>
    </w:p>
    <w:p w14:paraId="0A9F1205" w14:textId="77777777" w:rsidR="00B66DDF" w:rsidRPr="00B66DDF" w:rsidRDefault="00B66DDF" w:rsidP="00B66DDF">
      <w:pPr>
        <w:numPr>
          <w:ilvl w:val="0"/>
          <w:numId w:val="5"/>
        </w:numPr>
        <w:tabs>
          <w:tab w:val="clear" w:pos="360"/>
          <w:tab w:val="num" w:pos="720"/>
        </w:tabs>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Distribution Information</w:t>
      </w:r>
    </w:p>
    <w:p w14:paraId="1382FCC5"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lastRenderedPageBreak/>
        <w:t>"Distribution Information" means information relating to distribution strategies, channel management, sales operations, market penetration, dealer management, reseller management, logistics operations, and commercialization activities.</w:t>
      </w:r>
    </w:p>
    <w:p w14:paraId="2327D8D3" w14:textId="77777777" w:rsidR="00B66DDF" w:rsidRPr="00B66DDF" w:rsidRDefault="00B66DDF" w:rsidP="00B66DDF">
      <w:pPr>
        <w:numPr>
          <w:ilvl w:val="0"/>
          <w:numId w:val="6"/>
        </w:numPr>
        <w:tabs>
          <w:tab w:val="clear" w:pos="360"/>
          <w:tab w:val="num" w:pos="720"/>
        </w:tabs>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Market Information</w:t>
      </w:r>
    </w:p>
    <w:p w14:paraId="3F5994A5" w14:textId="40782B22"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"Market Information" means information relating to customer demand, market conditions, industry trends, competitor activities, market intelligence, pricing trends, sales opportunities, and market expansion initiatives.</w:t>
      </w:r>
    </w:p>
    <w:p w14:paraId="6AA86258" w14:textId="77777777" w:rsidR="00B66DDF" w:rsidRPr="00B66DDF" w:rsidRDefault="00B66DDF" w:rsidP="00B66DDF">
      <w:pPr>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D. CONFIDENTIAL INFORMATION EXPANSION</w:t>
      </w:r>
    </w:p>
    <w:p w14:paraId="58D1B318"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Without limitation, Confidential Information includes:</w:t>
      </w:r>
    </w:p>
    <w:p w14:paraId="7FD0737C"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(a) distribution strategies, channel strategies, sales strategies, market expansion plans, commercialization plans, and business development initiatives;</w:t>
      </w:r>
    </w:p>
    <w:p w14:paraId="7AEB5F18"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(b) distributor lists, reseller lists, dealer networks, customer databases, channel partner information, and sales organization structures;</w:t>
      </w:r>
    </w:p>
    <w:p w14:paraId="32AC1015"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(c) sales forecasts, demand forecasts, revenue projections, market analyses, market intelligence reports, and competitive assessments;</w:t>
      </w:r>
    </w:p>
    <w:p w14:paraId="0DF1D2EB"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(d) pricing strategies, discount structures, incentive programs, rebate structures, commission plans, and commercial arrangements;</w:t>
      </w:r>
    </w:p>
    <w:p w14:paraId="11353A52"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(e) customer information, purchasing information, sales data, order histories, customer requirements, and customer relationship information;</w:t>
      </w:r>
    </w:p>
    <w:p w14:paraId="420B1110"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(f) distribution territories, exclusivity arrangements, market allocation plans, customer segmentation strategies, and channel management frameworks;</w:t>
      </w:r>
    </w:p>
    <w:p w14:paraId="3D9A7246"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(g) logistics information, warehousing information, transportation arrangements, inventory information, supply planning information, and distribution infrastructure details;</w:t>
      </w:r>
    </w:p>
    <w:p w14:paraId="691EAAA3"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(h) marketing strategies, promotional campaigns, advertising plans, branding initiatives, go-to-market strategies, and product launch plans;</w:t>
      </w:r>
    </w:p>
    <w:p w14:paraId="58852CCB"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w:t>
      </w:r>
      <w:proofErr w:type="spellStart"/>
      <w:r w:rsidRPr="00B66DDF">
        <w:rPr>
          <w:rFonts w:ascii="Times New Roman" w:hAnsi="Times New Roman" w:cs="Times New Roman"/>
          <w:color w:val="156082" w:themeColor="accent1"/>
        </w:rPr>
        <w:t>i</w:t>
      </w:r>
      <w:proofErr w:type="spellEnd"/>
      <w:r w:rsidRPr="00B66DDF">
        <w:rPr>
          <w:rFonts w:ascii="Times New Roman" w:hAnsi="Times New Roman" w:cs="Times New Roman"/>
          <w:color w:val="156082" w:themeColor="accent1"/>
        </w:rPr>
        <w:t>) commercial agreements, dealer agreements, reseller agreements, channel partner agreements, distribution agreements, and related transaction documents;</w:t>
      </w:r>
    </w:p>
    <w:p w14:paraId="08145213"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(j) product information, service information, technical specifications, quality standards, support arrangements, warranty structures, and implementation information;</w:t>
      </w:r>
    </w:p>
    <w:p w14:paraId="0E9D4CB7"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(k) performance reports, sales reports, channel performance metrics, customer acquisition data, distributor performance data, and operational assessments; and</w:t>
      </w:r>
    </w:p>
    <w:p w14:paraId="3E06A024" w14:textId="04C3604E"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(l) any other commercial, financial, operational, marketing, distribution-related, logistics-related, strategic, technical, or proprietary information disclosed in connection with the contemplated distribution arrangement.</w:t>
      </w:r>
    </w:p>
    <w:p w14:paraId="1F3A4957" w14:textId="77777777" w:rsidR="00B66DDF" w:rsidRPr="00B66DDF" w:rsidRDefault="00B66DDF" w:rsidP="00B66DDF">
      <w:pPr>
        <w:jc w:val="both"/>
        <w:rPr>
          <w:rFonts w:ascii="Times New Roman" w:hAnsi="Times New Roman" w:cs="Times New Roman"/>
          <w:b/>
          <w:bCs/>
          <w:color w:val="156082" w:themeColor="accent1"/>
        </w:rPr>
      </w:pPr>
      <w:r w:rsidRPr="00B66DDF">
        <w:rPr>
          <w:rFonts w:ascii="Times New Roman" w:hAnsi="Times New Roman" w:cs="Times New Roman"/>
          <w:b/>
          <w:bCs/>
          <w:color w:val="156082" w:themeColor="accent1"/>
        </w:rPr>
        <w:t>E. OPTIONAL INTRODUCED CONTACTS DATASET</w:t>
      </w:r>
    </w:p>
    <w:p w14:paraId="1A1C544B"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lastRenderedPageBreak/>
        <w:t>Distributors</w:t>
      </w:r>
    </w:p>
    <w:p w14:paraId="4BDA71E0"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Dealers</w:t>
      </w:r>
    </w:p>
    <w:p w14:paraId="164F73CC"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Resellers</w:t>
      </w:r>
    </w:p>
    <w:p w14:paraId="011A0F49"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Channel Partners</w:t>
      </w:r>
    </w:p>
    <w:p w14:paraId="5FC92382"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Value-Added Resellers (VARs)</w:t>
      </w:r>
    </w:p>
    <w:p w14:paraId="426410B6"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Sales Agents</w:t>
      </w:r>
    </w:p>
    <w:p w14:paraId="13E1FD4C"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Referral Partners</w:t>
      </w:r>
    </w:p>
    <w:p w14:paraId="5FBF04A7"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Customers</w:t>
      </w:r>
    </w:p>
    <w:p w14:paraId="3E2275C7"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Key Customers</w:t>
      </w:r>
    </w:p>
    <w:p w14:paraId="4B0D177A"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Retailers</w:t>
      </w:r>
    </w:p>
    <w:p w14:paraId="504A8866"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Wholesalers</w:t>
      </w:r>
    </w:p>
    <w:p w14:paraId="565F8C2B"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Importers</w:t>
      </w:r>
    </w:p>
    <w:p w14:paraId="2A9122AB"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Exporters</w:t>
      </w:r>
    </w:p>
    <w:p w14:paraId="1CEBB3D1"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Logistics Providers</w:t>
      </w:r>
    </w:p>
    <w:p w14:paraId="195E2D86"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Warehousing Providers</w:t>
      </w:r>
    </w:p>
    <w:p w14:paraId="4D0523ED"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Marketing Partners</w:t>
      </w:r>
    </w:p>
    <w:p w14:paraId="5940286B"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Strategic Partners</w:t>
      </w:r>
    </w:p>
    <w:p w14:paraId="0D5B6B3D"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Industry Associations</w:t>
      </w:r>
    </w:p>
    <w:p w14:paraId="072DB8E3"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Government Authorities</w:t>
      </w:r>
    </w:p>
    <w:p w14:paraId="001A9903"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Regulatory Authorities</w:t>
      </w:r>
    </w:p>
    <w:p w14:paraId="176CB294" w14:textId="77777777" w:rsidR="00B66DDF" w:rsidRPr="00B66DDF" w:rsidRDefault="00B66DDF" w:rsidP="00B66DDF">
      <w:pPr>
        <w:jc w:val="both"/>
        <w:rPr>
          <w:rFonts w:ascii="Times New Roman" w:hAnsi="Times New Roman" w:cs="Times New Roman"/>
          <w:color w:val="156082" w:themeColor="accent1"/>
        </w:rPr>
      </w:pPr>
      <w:r w:rsidRPr="00B66DDF">
        <w:rPr>
          <w:rFonts w:ascii="Times New Roman" w:hAnsi="Times New Roman" w:cs="Times New Roman"/>
          <w:color w:val="156082" w:themeColor="accent1"/>
        </w:rPr>
        <w:t>Commercial Counterparties</w:t>
      </w:r>
    </w:p>
    <w:p w14:paraId="3FFF3A05" w14:textId="77777777" w:rsidR="00B66DDF" w:rsidRPr="00B66DDF" w:rsidRDefault="00B66DDF" w:rsidP="00B66DDF">
      <w:pPr>
        <w:jc w:val="both"/>
        <w:rPr>
          <w:rFonts w:ascii="Times New Roman" w:hAnsi="Times New Roman" w:cs="Times New Roman"/>
          <w:color w:val="156082" w:themeColor="accent1"/>
        </w:rPr>
      </w:pPr>
    </w:p>
    <w:sectPr w:rsidR="00B66DDF" w:rsidRPr="00B66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04DF"/>
    <w:multiLevelType w:val="multilevel"/>
    <w:tmpl w:val="149864D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FAC614B"/>
    <w:multiLevelType w:val="multilevel"/>
    <w:tmpl w:val="AC1E721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99239EB"/>
    <w:multiLevelType w:val="multilevel"/>
    <w:tmpl w:val="714870A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1306FA"/>
    <w:multiLevelType w:val="multilevel"/>
    <w:tmpl w:val="B898563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DFA6A2F"/>
    <w:multiLevelType w:val="multilevel"/>
    <w:tmpl w:val="DB18E2D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4695B7B"/>
    <w:multiLevelType w:val="multilevel"/>
    <w:tmpl w:val="8F984D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44645751">
    <w:abstractNumId w:val="5"/>
  </w:num>
  <w:num w:numId="2" w16cid:durableId="673996235">
    <w:abstractNumId w:val="2"/>
  </w:num>
  <w:num w:numId="3" w16cid:durableId="313922478">
    <w:abstractNumId w:val="1"/>
  </w:num>
  <w:num w:numId="4" w16cid:durableId="833422789">
    <w:abstractNumId w:val="4"/>
  </w:num>
  <w:num w:numId="5" w16cid:durableId="1220559072">
    <w:abstractNumId w:val="0"/>
  </w:num>
  <w:num w:numId="6" w16cid:durableId="219947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DF"/>
    <w:rsid w:val="003E2838"/>
    <w:rsid w:val="00B66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A3D6"/>
  <w15:chartTrackingRefBased/>
  <w15:docId w15:val="{2B3A8603-9704-499E-8CFF-A374E387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DF"/>
    <w:rPr>
      <w:rFonts w:eastAsiaTheme="majorEastAsia" w:cstheme="majorBidi"/>
      <w:color w:val="272727" w:themeColor="text1" w:themeTint="D8"/>
    </w:rPr>
  </w:style>
  <w:style w:type="paragraph" w:styleId="Title">
    <w:name w:val="Title"/>
    <w:basedOn w:val="Normal"/>
    <w:next w:val="Normal"/>
    <w:link w:val="TitleChar"/>
    <w:uiPriority w:val="10"/>
    <w:qFormat/>
    <w:rsid w:val="00B6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DF"/>
    <w:pPr>
      <w:spacing w:before="160"/>
      <w:jc w:val="center"/>
    </w:pPr>
    <w:rPr>
      <w:i/>
      <w:iCs/>
      <w:color w:val="404040" w:themeColor="text1" w:themeTint="BF"/>
    </w:rPr>
  </w:style>
  <w:style w:type="character" w:customStyle="1" w:styleId="QuoteChar">
    <w:name w:val="Quote Char"/>
    <w:basedOn w:val="DefaultParagraphFont"/>
    <w:link w:val="Quote"/>
    <w:uiPriority w:val="29"/>
    <w:rsid w:val="00B66DDF"/>
    <w:rPr>
      <w:i/>
      <w:iCs/>
      <w:color w:val="404040" w:themeColor="text1" w:themeTint="BF"/>
    </w:rPr>
  </w:style>
  <w:style w:type="paragraph" w:styleId="ListParagraph">
    <w:name w:val="List Paragraph"/>
    <w:basedOn w:val="Normal"/>
    <w:uiPriority w:val="34"/>
    <w:qFormat/>
    <w:rsid w:val="00B66DDF"/>
    <w:pPr>
      <w:ind w:left="720"/>
      <w:contextualSpacing/>
    </w:pPr>
  </w:style>
  <w:style w:type="character" w:styleId="IntenseEmphasis">
    <w:name w:val="Intense Emphasis"/>
    <w:basedOn w:val="DefaultParagraphFont"/>
    <w:uiPriority w:val="21"/>
    <w:qFormat/>
    <w:rsid w:val="00B66DDF"/>
    <w:rPr>
      <w:i/>
      <w:iCs/>
      <w:color w:val="0F4761" w:themeColor="accent1" w:themeShade="BF"/>
    </w:rPr>
  </w:style>
  <w:style w:type="paragraph" w:styleId="IntenseQuote">
    <w:name w:val="Intense Quote"/>
    <w:basedOn w:val="Normal"/>
    <w:next w:val="Normal"/>
    <w:link w:val="IntenseQuoteChar"/>
    <w:uiPriority w:val="30"/>
    <w:qFormat/>
    <w:rsid w:val="00B66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DF"/>
    <w:rPr>
      <w:i/>
      <w:iCs/>
      <w:color w:val="0F4761" w:themeColor="accent1" w:themeShade="BF"/>
    </w:rPr>
  </w:style>
  <w:style w:type="character" w:styleId="IntenseReference">
    <w:name w:val="Intense Reference"/>
    <w:basedOn w:val="DefaultParagraphFont"/>
    <w:uiPriority w:val="32"/>
    <w:qFormat/>
    <w:rsid w:val="00B66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2026-06-09T16:39:00Z</dcterms:created>
  <dcterms:modified xsi:type="dcterms:W3CDTF">2026-06-09T16:40:00Z</dcterms:modified>
</cp:coreProperties>
</file>