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D4845" w14:textId="44D16E5B" w:rsidR="007D43A7" w:rsidRDefault="007D43A7" w:rsidP="007D43A7">
      <w:pPr>
        <w:jc w:val="center"/>
        <w:rPr>
          <w:rFonts w:ascii="Times New Roman" w:hAnsi="Times New Roman" w:cs="Times New Roman"/>
          <w:b/>
          <w:bCs/>
          <w:color w:val="156082" w:themeColor="accent1"/>
          <w:u w:val="single"/>
        </w:rPr>
      </w:pPr>
      <w:r w:rsidRPr="007D43A7">
        <w:rPr>
          <w:rFonts w:ascii="Times New Roman" w:hAnsi="Times New Roman" w:cs="Times New Roman"/>
          <w:b/>
          <w:bCs/>
          <w:color w:val="156082" w:themeColor="accent1"/>
          <w:u w:val="single"/>
        </w:rPr>
        <w:t>GC-18 – PROOF OF CONCEPT (PoC) EVALUATION</w:t>
      </w:r>
    </w:p>
    <w:p w14:paraId="3259D4A2" w14:textId="77777777" w:rsidR="007D43A7" w:rsidRPr="007D43A7" w:rsidRDefault="007D43A7" w:rsidP="007D43A7">
      <w:pPr>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PURPOSE PACK #18 – PROOF OF CONCEPT (PoC) EVALUATION</w:t>
      </w:r>
    </w:p>
    <w:p w14:paraId="3B3F12DC" w14:textId="77777777" w:rsidR="007D43A7" w:rsidRPr="007D43A7" w:rsidRDefault="007D43A7" w:rsidP="007D43A7">
      <w:pPr>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A. PURPOSE DEFINITION</w:t>
      </w:r>
    </w:p>
    <w:p w14:paraId="481796DE" w14:textId="0373CE70"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"Purpose" means the evaluation, testing, validation, demonstration, pilot implementation, assessment, verification, and potential commercialization of a product, service, technology, solution, platform, system, process, or innovation through a proof of concept, pilot project, trial deployment, demonstration project, or evaluation exercise.</w:t>
      </w:r>
    </w:p>
    <w:p w14:paraId="4C03AAE0" w14:textId="77777777" w:rsidR="007D43A7" w:rsidRPr="007D43A7" w:rsidRDefault="007D43A7" w:rsidP="007D43A7">
      <w:pPr>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B. RECITAL VARIANT</w:t>
      </w:r>
    </w:p>
    <w:p w14:paraId="43BF2040" w14:textId="77777777" w:rsidR="007D43A7" w:rsidRPr="007D43A7" w:rsidRDefault="007D43A7" w:rsidP="007D43A7">
      <w:pPr>
        <w:jc w:val="both"/>
        <w:rPr>
          <w:rFonts w:ascii="Times New Roman" w:hAnsi="Times New Roman" w:cs="Times New Roman"/>
          <w:color w:val="156082" w:themeColor="accent1"/>
        </w:rPr>
      </w:pPr>
      <w:proofErr w:type="gramStart"/>
      <w:r w:rsidRPr="007D43A7">
        <w:rPr>
          <w:rFonts w:ascii="Times New Roman" w:hAnsi="Times New Roman" w:cs="Times New Roman"/>
          <w:color w:val="156082" w:themeColor="accent1"/>
        </w:rPr>
        <w:t>WHEREAS,</w:t>
      </w:r>
      <w:proofErr w:type="gramEnd"/>
      <w:r w:rsidRPr="007D43A7">
        <w:rPr>
          <w:rFonts w:ascii="Times New Roman" w:hAnsi="Times New Roman" w:cs="Times New Roman"/>
          <w:color w:val="156082" w:themeColor="accent1"/>
        </w:rPr>
        <w:t xml:space="preserve"> the Parties desire to evaluate and conduct a proof of concept, pilot project, demonstration, trial deployment, or validation exercise relating to certain products, services, technologies, systems, platforms, processes, or solutions;</w:t>
      </w:r>
    </w:p>
    <w:p w14:paraId="16451F07"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WHEREAS, in connection with such activities, the Parties may disclose and exchange confidential technical, operational, commercial, financial, strategic, product-related, and proprietary information;</w:t>
      </w:r>
    </w:p>
    <w:p w14:paraId="21FEE299" w14:textId="3D78B851" w:rsidR="007D43A7" w:rsidRPr="007D43A7" w:rsidRDefault="007D43A7" w:rsidP="007D43A7">
      <w:pPr>
        <w:jc w:val="both"/>
        <w:rPr>
          <w:rFonts w:ascii="Times New Roman" w:hAnsi="Times New Roman" w:cs="Times New Roman"/>
          <w:color w:val="156082" w:themeColor="accent1"/>
        </w:rPr>
      </w:pPr>
      <w:proofErr w:type="gramStart"/>
      <w:r w:rsidRPr="007D43A7">
        <w:rPr>
          <w:rFonts w:ascii="Times New Roman" w:hAnsi="Times New Roman" w:cs="Times New Roman"/>
          <w:color w:val="156082" w:themeColor="accent1"/>
        </w:rPr>
        <w:t>WHEREAS,</w:t>
      </w:r>
      <w:proofErr w:type="gramEnd"/>
      <w:r w:rsidRPr="007D43A7">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4A47CED7" w14:textId="77777777" w:rsidR="007D43A7" w:rsidRPr="007D43A7" w:rsidRDefault="007D43A7" w:rsidP="007D43A7">
      <w:pPr>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C. ADDITIONAL DEFINITIONS</w:t>
      </w:r>
    </w:p>
    <w:p w14:paraId="3FD6DDFB" w14:textId="77777777" w:rsidR="007D43A7" w:rsidRPr="007D43A7" w:rsidRDefault="007D43A7" w:rsidP="007D43A7">
      <w:pPr>
        <w:numPr>
          <w:ilvl w:val="0"/>
          <w:numId w:val="1"/>
        </w:numPr>
        <w:tabs>
          <w:tab w:val="clear" w:pos="360"/>
          <w:tab w:val="num" w:pos="720"/>
        </w:tabs>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Proof of Concept</w:t>
      </w:r>
    </w:p>
    <w:p w14:paraId="310EB1CA"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"Proof of Concept" or "PoC" means any pilot project, demonstration project, trial implementation, testing exercise, validation exercise, feasibility assessment, prototype deployment, or evaluation activity undertaken to assess the viability, suitability, performance, functionality, effectiveness, or commercial potential of a Product or Solution.</w:t>
      </w:r>
    </w:p>
    <w:p w14:paraId="1BC7506D" w14:textId="77777777" w:rsidR="007D43A7" w:rsidRPr="007D43A7" w:rsidRDefault="007D43A7" w:rsidP="007D43A7">
      <w:pPr>
        <w:numPr>
          <w:ilvl w:val="0"/>
          <w:numId w:val="2"/>
        </w:numPr>
        <w:tabs>
          <w:tab w:val="clear" w:pos="360"/>
          <w:tab w:val="num" w:pos="720"/>
        </w:tabs>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Solution</w:t>
      </w:r>
    </w:p>
    <w:p w14:paraId="4865285C"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"Solution" means any product, service, technology, software, hardware, platform, system, process, methodology, innovation, application, or offering being evaluated under the PoC.</w:t>
      </w:r>
    </w:p>
    <w:p w14:paraId="6BCA2530" w14:textId="77777777" w:rsidR="007D43A7" w:rsidRPr="007D43A7" w:rsidRDefault="007D43A7" w:rsidP="007D43A7">
      <w:pPr>
        <w:numPr>
          <w:ilvl w:val="0"/>
          <w:numId w:val="3"/>
        </w:numPr>
        <w:tabs>
          <w:tab w:val="clear" w:pos="360"/>
          <w:tab w:val="num" w:pos="720"/>
        </w:tabs>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Pilot Environment</w:t>
      </w:r>
    </w:p>
    <w:p w14:paraId="4501A57D"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"Pilot Environment" means any operational, testing, development, demonstration, staging, trial, or production-like environment in which the PoC is conducted.</w:t>
      </w:r>
    </w:p>
    <w:p w14:paraId="6B367A68" w14:textId="77777777" w:rsidR="007D43A7" w:rsidRPr="007D43A7" w:rsidRDefault="007D43A7" w:rsidP="007D43A7">
      <w:pPr>
        <w:numPr>
          <w:ilvl w:val="0"/>
          <w:numId w:val="4"/>
        </w:numPr>
        <w:tabs>
          <w:tab w:val="clear" w:pos="360"/>
          <w:tab w:val="num" w:pos="720"/>
        </w:tabs>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Evaluation Criteria</w:t>
      </w:r>
    </w:p>
    <w:p w14:paraId="2402EB5B"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"Evaluation Criteria" means the technical, operational, financial, commercial, functional, performance, security, compliance, quality, or business metrics used to assess the success or suitability of the PoC.</w:t>
      </w:r>
    </w:p>
    <w:p w14:paraId="1F0BDA67" w14:textId="77777777" w:rsidR="007D43A7" w:rsidRPr="007D43A7" w:rsidRDefault="007D43A7" w:rsidP="007D43A7">
      <w:pPr>
        <w:numPr>
          <w:ilvl w:val="0"/>
          <w:numId w:val="5"/>
        </w:numPr>
        <w:tabs>
          <w:tab w:val="clear" w:pos="360"/>
          <w:tab w:val="num" w:pos="720"/>
        </w:tabs>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Evaluation Results</w:t>
      </w:r>
    </w:p>
    <w:p w14:paraId="24C65AD1"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lastRenderedPageBreak/>
        <w:t>"Evaluation Results" means all findings, reports, analyses, metrics, observations, performance outcomes, recommendations, conclusions, assessments, and documentation generated during or resulting from the PoC.</w:t>
      </w:r>
    </w:p>
    <w:p w14:paraId="6896BCA5" w14:textId="77777777" w:rsidR="007D43A7" w:rsidRPr="007D43A7" w:rsidRDefault="007D43A7" w:rsidP="007D43A7">
      <w:pPr>
        <w:numPr>
          <w:ilvl w:val="0"/>
          <w:numId w:val="6"/>
        </w:numPr>
        <w:tabs>
          <w:tab w:val="clear" w:pos="360"/>
          <w:tab w:val="num" w:pos="720"/>
        </w:tabs>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Pilot Data</w:t>
      </w:r>
    </w:p>
    <w:p w14:paraId="39AB8C18" w14:textId="3BB16A4E"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"Pilot Data" means any operational data, test data, usage data, performance data, analytics, reports, outputs, logs, records, or information generated, collected, processed, or evaluated during the PoC.</w:t>
      </w:r>
    </w:p>
    <w:p w14:paraId="052A36E2" w14:textId="77777777" w:rsidR="007D43A7" w:rsidRPr="007D43A7" w:rsidRDefault="007D43A7" w:rsidP="007D43A7">
      <w:pPr>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D. CONFIDENTIAL INFORMATION EXPANSION</w:t>
      </w:r>
    </w:p>
    <w:p w14:paraId="3F883E7D"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Without limitation, Confidential Information includes:</w:t>
      </w:r>
    </w:p>
    <w:p w14:paraId="68D218B3"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(a) proof of concept plans, pilot project plans, implementation plans, testing plans, validation frameworks, and deployment strategies;</w:t>
      </w:r>
    </w:p>
    <w:p w14:paraId="5F0A7C51"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(b) technical specifications, solution architectures, product configurations, system designs, engineering information, and implementation methodologies;</w:t>
      </w:r>
    </w:p>
    <w:p w14:paraId="305021D8"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(c) prototypes, demonstration units, pilot systems, test environments, proof-of-concept materials, and evaluation materials;</w:t>
      </w:r>
    </w:p>
    <w:p w14:paraId="0D2F1CF6"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(d) evaluation criteria, testing methodologies, acceptance criteria, validation procedures, benchmarking methodologies, and assessment frameworks;</w:t>
      </w:r>
    </w:p>
    <w:p w14:paraId="6376B366"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(e) pilot data, usage data, operational data, performance data, analytics, logs, reports, and evaluation outputs;</w:t>
      </w:r>
    </w:p>
    <w:p w14:paraId="5BCD4C6F"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(f) testing results, validation results, performance reports, assessment findings, recommendations, conclusions, and evaluation reports;</w:t>
      </w:r>
    </w:p>
    <w:p w14:paraId="6DFA2C3E"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(g) product roadmaps, enhancement plans, future development plans, commercialization strategies, and go-to-market plans;</w:t>
      </w:r>
    </w:p>
    <w:p w14:paraId="31803246"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(h) implementation challenges, operational findings, technical observations, risk assessments, lessons learned, and improvement recommendations;</w:t>
      </w:r>
    </w:p>
    <w:p w14:paraId="1E1562B3"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w:t>
      </w:r>
      <w:proofErr w:type="spellStart"/>
      <w:r w:rsidRPr="007D43A7">
        <w:rPr>
          <w:rFonts w:ascii="Times New Roman" w:hAnsi="Times New Roman" w:cs="Times New Roman"/>
          <w:color w:val="156082" w:themeColor="accent1"/>
        </w:rPr>
        <w:t>i</w:t>
      </w:r>
      <w:proofErr w:type="spellEnd"/>
      <w:r w:rsidRPr="007D43A7">
        <w:rPr>
          <w:rFonts w:ascii="Times New Roman" w:hAnsi="Times New Roman" w:cs="Times New Roman"/>
          <w:color w:val="156082" w:themeColor="accent1"/>
        </w:rPr>
        <w:t>) customer requirements, business requirements, operational requirements, technical requirements, and use-case information;</w:t>
      </w:r>
    </w:p>
    <w:p w14:paraId="35783A81"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(j) intellectual property information, proprietary technologies, algorithms, methodologies, trade secrets, know-how, and innovation-related information;</w:t>
      </w:r>
    </w:p>
    <w:p w14:paraId="606939A8"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(k) pricing proposals, commercial models, licensing structures, commercialization strategies, investment plans, and business case analyses; and</w:t>
      </w:r>
    </w:p>
    <w:p w14:paraId="09AE5C7C" w14:textId="07895D35"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(l) any other technical, operational, commercial, financial, strategic, product-related, pilot-related, evaluation-related, or proprietary information disclosed or generated in connection with the PoC.</w:t>
      </w:r>
    </w:p>
    <w:p w14:paraId="011EAC0F" w14:textId="77777777" w:rsidR="007D43A7" w:rsidRPr="007D43A7" w:rsidRDefault="007D43A7" w:rsidP="007D43A7">
      <w:pPr>
        <w:jc w:val="both"/>
        <w:rPr>
          <w:rFonts w:ascii="Times New Roman" w:hAnsi="Times New Roman" w:cs="Times New Roman"/>
          <w:b/>
          <w:bCs/>
          <w:color w:val="156082" w:themeColor="accent1"/>
        </w:rPr>
      </w:pPr>
      <w:r w:rsidRPr="007D43A7">
        <w:rPr>
          <w:rFonts w:ascii="Times New Roman" w:hAnsi="Times New Roman" w:cs="Times New Roman"/>
          <w:b/>
          <w:bCs/>
          <w:color w:val="156082" w:themeColor="accent1"/>
        </w:rPr>
        <w:t>E. OPTIONAL INTRODUCED CONTACTS DATASET</w:t>
      </w:r>
    </w:p>
    <w:p w14:paraId="10BB78F8"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lastRenderedPageBreak/>
        <w:t>Technology Providers</w:t>
      </w:r>
    </w:p>
    <w:p w14:paraId="031C7A72"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Software Vendors</w:t>
      </w:r>
    </w:p>
    <w:p w14:paraId="769216CE"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Product Developers</w:t>
      </w:r>
    </w:p>
    <w:p w14:paraId="5D81C58D"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Engineers</w:t>
      </w:r>
    </w:p>
    <w:p w14:paraId="568489F6"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Pilot Customers</w:t>
      </w:r>
    </w:p>
    <w:p w14:paraId="35AD971B"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Enterprise Customers</w:t>
      </w:r>
    </w:p>
    <w:p w14:paraId="5F8AC07F"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Testing Agencies</w:t>
      </w:r>
    </w:p>
    <w:p w14:paraId="6907B23C"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Implementation Partners</w:t>
      </w:r>
    </w:p>
    <w:p w14:paraId="674D896D"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System Integrators</w:t>
      </w:r>
    </w:p>
    <w:p w14:paraId="249E0E70"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Consultants</w:t>
      </w:r>
    </w:p>
    <w:p w14:paraId="5E9CB17B"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Innovation Partners</w:t>
      </w:r>
    </w:p>
    <w:p w14:paraId="3C51B0DF"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Research Institutions</w:t>
      </w:r>
    </w:p>
    <w:p w14:paraId="24FB3826"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Universities</w:t>
      </w:r>
    </w:p>
    <w:p w14:paraId="54A5DB2D"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Strategic Partners</w:t>
      </w:r>
    </w:p>
    <w:p w14:paraId="79D63139"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Investors</w:t>
      </w:r>
    </w:p>
    <w:p w14:paraId="292B5CC8"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Government Authorities</w:t>
      </w:r>
    </w:p>
    <w:p w14:paraId="7F932EE8"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Regulatory Authorities</w:t>
      </w:r>
    </w:p>
    <w:p w14:paraId="4C7B7AB5"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Industry Experts</w:t>
      </w:r>
    </w:p>
    <w:p w14:paraId="381F587B" w14:textId="77777777" w:rsidR="007D43A7" w:rsidRPr="007D43A7" w:rsidRDefault="007D43A7" w:rsidP="007D43A7">
      <w:pPr>
        <w:jc w:val="both"/>
        <w:rPr>
          <w:rFonts w:ascii="Times New Roman" w:hAnsi="Times New Roman" w:cs="Times New Roman"/>
          <w:color w:val="156082" w:themeColor="accent1"/>
        </w:rPr>
      </w:pPr>
      <w:r w:rsidRPr="007D43A7">
        <w:rPr>
          <w:rFonts w:ascii="Times New Roman" w:hAnsi="Times New Roman" w:cs="Times New Roman"/>
          <w:color w:val="156082" w:themeColor="accent1"/>
        </w:rPr>
        <w:t>Commercial Counterparties</w:t>
      </w:r>
    </w:p>
    <w:p w14:paraId="0A899729" w14:textId="77777777" w:rsidR="007D43A7" w:rsidRPr="007D43A7" w:rsidRDefault="007D43A7" w:rsidP="007D43A7">
      <w:pPr>
        <w:jc w:val="both"/>
        <w:rPr>
          <w:rFonts w:ascii="Times New Roman" w:hAnsi="Times New Roman" w:cs="Times New Roman"/>
          <w:color w:val="156082" w:themeColor="accent1"/>
        </w:rPr>
      </w:pPr>
    </w:p>
    <w:sectPr w:rsidR="007D43A7" w:rsidRPr="007D4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8A6"/>
    <w:multiLevelType w:val="multilevel"/>
    <w:tmpl w:val="A5763A4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D4C1712"/>
    <w:multiLevelType w:val="multilevel"/>
    <w:tmpl w:val="8416D92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C376A54"/>
    <w:multiLevelType w:val="multilevel"/>
    <w:tmpl w:val="A9000E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E2E7BB8"/>
    <w:multiLevelType w:val="multilevel"/>
    <w:tmpl w:val="48684CB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87E25C6"/>
    <w:multiLevelType w:val="multilevel"/>
    <w:tmpl w:val="C09CBE6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DC62D03"/>
    <w:multiLevelType w:val="multilevel"/>
    <w:tmpl w:val="111C9FCE"/>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32243181">
    <w:abstractNumId w:val="2"/>
  </w:num>
  <w:num w:numId="2" w16cid:durableId="129907958">
    <w:abstractNumId w:val="0"/>
  </w:num>
  <w:num w:numId="3" w16cid:durableId="283003395">
    <w:abstractNumId w:val="5"/>
  </w:num>
  <w:num w:numId="4" w16cid:durableId="1455362791">
    <w:abstractNumId w:val="1"/>
  </w:num>
  <w:num w:numId="5" w16cid:durableId="333799532">
    <w:abstractNumId w:val="4"/>
  </w:num>
  <w:num w:numId="6" w16cid:durableId="1776562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3A7"/>
    <w:rsid w:val="001C415A"/>
    <w:rsid w:val="007D4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DD018"/>
  <w15:chartTrackingRefBased/>
  <w15:docId w15:val="{717EC5BE-68A5-4A82-8958-2858EA91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3A7"/>
    <w:rPr>
      <w:rFonts w:eastAsiaTheme="majorEastAsia" w:cstheme="majorBidi"/>
      <w:color w:val="272727" w:themeColor="text1" w:themeTint="D8"/>
    </w:rPr>
  </w:style>
  <w:style w:type="paragraph" w:styleId="Title">
    <w:name w:val="Title"/>
    <w:basedOn w:val="Normal"/>
    <w:next w:val="Normal"/>
    <w:link w:val="TitleChar"/>
    <w:uiPriority w:val="10"/>
    <w:qFormat/>
    <w:rsid w:val="007D4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3A7"/>
    <w:pPr>
      <w:spacing w:before="160"/>
      <w:jc w:val="center"/>
    </w:pPr>
    <w:rPr>
      <w:i/>
      <w:iCs/>
      <w:color w:val="404040" w:themeColor="text1" w:themeTint="BF"/>
    </w:rPr>
  </w:style>
  <w:style w:type="character" w:customStyle="1" w:styleId="QuoteChar">
    <w:name w:val="Quote Char"/>
    <w:basedOn w:val="DefaultParagraphFont"/>
    <w:link w:val="Quote"/>
    <w:uiPriority w:val="29"/>
    <w:rsid w:val="007D43A7"/>
    <w:rPr>
      <w:i/>
      <w:iCs/>
      <w:color w:val="404040" w:themeColor="text1" w:themeTint="BF"/>
    </w:rPr>
  </w:style>
  <w:style w:type="paragraph" w:styleId="ListParagraph">
    <w:name w:val="List Paragraph"/>
    <w:basedOn w:val="Normal"/>
    <w:uiPriority w:val="34"/>
    <w:qFormat/>
    <w:rsid w:val="007D43A7"/>
    <w:pPr>
      <w:ind w:left="720"/>
      <w:contextualSpacing/>
    </w:pPr>
  </w:style>
  <w:style w:type="character" w:styleId="IntenseEmphasis">
    <w:name w:val="Intense Emphasis"/>
    <w:basedOn w:val="DefaultParagraphFont"/>
    <w:uiPriority w:val="21"/>
    <w:qFormat/>
    <w:rsid w:val="007D43A7"/>
    <w:rPr>
      <w:i/>
      <w:iCs/>
      <w:color w:val="0F4761" w:themeColor="accent1" w:themeShade="BF"/>
    </w:rPr>
  </w:style>
  <w:style w:type="paragraph" w:styleId="IntenseQuote">
    <w:name w:val="Intense Quote"/>
    <w:basedOn w:val="Normal"/>
    <w:next w:val="Normal"/>
    <w:link w:val="IntenseQuoteChar"/>
    <w:uiPriority w:val="30"/>
    <w:qFormat/>
    <w:rsid w:val="007D4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3A7"/>
    <w:rPr>
      <w:i/>
      <w:iCs/>
      <w:color w:val="0F4761" w:themeColor="accent1" w:themeShade="BF"/>
    </w:rPr>
  </w:style>
  <w:style w:type="character" w:styleId="IntenseReference">
    <w:name w:val="Intense Reference"/>
    <w:basedOn w:val="DefaultParagraphFont"/>
    <w:uiPriority w:val="32"/>
    <w:qFormat/>
    <w:rsid w:val="007D43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699</Words>
  <Characters>3988</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2026-06-09T16:53:00Z</dcterms:created>
  <dcterms:modified xsi:type="dcterms:W3CDTF">2026-06-09T16:55:00Z</dcterms:modified>
</cp:coreProperties>
</file>