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2860" w14:textId="77777777" w:rsidR="00FB68BF" w:rsidRPr="00FB68BF" w:rsidRDefault="00FB68BF" w:rsidP="00FB68BF">
      <w:pPr>
        <w:jc w:val="center"/>
        <w:rPr>
          <w:rFonts w:ascii="Times New Roman" w:hAnsi="Times New Roman" w:cs="Times New Roman"/>
          <w:b/>
          <w:bCs/>
          <w:color w:val="156082" w:themeColor="accent1"/>
          <w:u w:val="single"/>
        </w:rPr>
      </w:pPr>
      <w:r w:rsidRPr="00FB68BF">
        <w:rPr>
          <w:rFonts w:ascii="Times New Roman" w:hAnsi="Times New Roman" w:cs="Times New Roman"/>
          <w:b/>
          <w:bCs/>
          <w:color w:val="156082" w:themeColor="accent1"/>
          <w:u w:val="single"/>
        </w:rPr>
        <w:t>GC-25 – REGULATORY DUE DILIGENCE</w:t>
      </w:r>
    </w:p>
    <w:p w14:paraId="4DBBB5E1" w14:textId="77777777" w:rsidR="00FB68BF" w:rsidRPr="00FB68BF" w:rsidRDefault="00FB68BF" w:rsidP="00FB68B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B68BF">
        <w:rPr>
          <w:rFonts w:ascii="Times New Roman" w:hAnsi="Times New Roman" w:cs="Times New Roman"/>
          <w:b/>
          <w:bCs/>
          <w:color w:val="156082" w:themeColor="accent1"/>
        </w:rPr>
        <w:t>A. PURPOSE DEFINITION</w:t>
      </w:r>
    </w:p>
    <w:p w14:paraId="0B903536" w14:textId="150C5DAD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"Purpose" means the evaluation, review, assessment, verification, investigation, analysis, monitoring, or conduct of regulatory, legal, licensing, compliance, governance, or statutory due diligence in connection with a proposed transaction, investment, acquisition, financing, partnership, project, commercial arrangement, or other business opportunity.</w:t>
      </w:r>
    </w:p>
    <w:p w14:paraId="36560307" w14:textId="77777777" w:rsidR="00FB68BF" w:rsidRPr="00FB68BF" w:rsidRDefault="00FB68BF" w:rsidP="00FB68B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B68BF">
        <w:rPr>
          <w:rFonts w:ascii="Times New Roman" w:hAnsi="Times New Roman" w:cs="Times New Roman"/>
          <w:b/>
          <w:bCs/>
          <w:color w:val="156082" w:themeColor="accent1"/>
        </w:rPr>
        <w:t>B. RECITAL VARIANT</w:t>
      </w:r>
    </w:p>
    <w:p w14:paraId="1CBEF60B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WHEREAS, the Parties desire to evaluate and conduct regulatory and compliance due diligence in relation to a proposed transaction, investment, financing arrangement, acquisition, partnership, project, or other business opportunity;</w:t>
      </w:r>
    </w:p>
    <w:p w14:paraId="64F1B6F2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WHEREAS, in connection with such due diligence activities, the Parties may disclose and exchange confidential legal, regulatory, compliance, licensing, operational, financial, technical, and proprietary information;</w:t>
      </w:r>
    </w:p>
    <w:p w14:paraId="486C0AA5" w14:textId="3F3C5B72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WHEREAS, the Parties wish to establish the terms and conditions governing the disclosure, protection, use, and handling of such Confidential Information.</w:t>
      </w:r>
    </w:p>
    <w:p w14:paraId="73E1278B" w14:textId="77777777" w:rsidR="00FB68BF" w:rsidRPr="00FB68BF" w:rsidRDefault="00FB68BF" w:rsidP="00FB68B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B68BF">
        <w:rPr>
          <w:rFonts w:ascii="Times New Roman" w:hAnsi="Times New Roman" w:cs="Times New Roman"/>
          <w:b/>
          <w:bCs/>
          <w:color w:val="156082" w:themeColor="accent1"/>
        </w:rPr>
        <w:t>C. ADDITIONAL DEFINITIONS</w:t>
      </w:r>
    </w:p>
    <w:p w14:paraId="1FB6E3E7" w14:textId="77777777" w:rsidR="00FB68BF" w:rsidRPr="00FB68BF" w:rsidRDefault="00FB68BF" w:rsidP="00FB68BF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B68BF">
        <w:rPr>
          <w:rFonts w:ascii="Times New Roman" w:hAnsi="Times New Roman" w:cs="Times New Roman"/>
          <w:b/>
          <w:bCs/>
          <w:color w:val="156082" w:themeColor="accent1"/>
        </w:rPr>
        <w:t>Regulatory Information</w:t>
      </w:r>
    </w:p>
    <w:p w14:paraId="4651D7AE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"Regulatory Information" means any information relating to regulatory approvals, licenses, permits, registrations, certifications, authorizations, filings, regulatory obligations, compliance obligations, or interactions with Regulatory Authorities.</w:t>
      </w:r>
    </w:p>
    <w:p w14:paraId="4CCC01FB" w14:textId="77777777" w:rsidR="00FB68BF" w:rsidRPr="00FB68BF" w:rsidRDefault="00FB68BF" w:rsidP="00FB68BF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B68BF">
        <w:rPr>
          <w:rFonts w:ascii="Times New Roman" w:hAnsi="Times New Roman" w:cs="Times New Roman"/>
          <w:b/>
          <w:bCs/>
          <w:color w:val="156082" w:themeColor="accent1"/>
        </w:rPr>
        <w:t>Regulatory Authority</w:t>
      </w:r>
    </w:p>
    <w:p w14:paraId="4974D6DF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"Regulatory Authority" means any governmental authority, ministry, department, commission, tribunal, statutory authority, regulatory body, local authority, administrative agency, or governmental instrumentality having jurisdiction over a Party or the subject matter of the Purpose.</w:t>
      </w:r>
    </w:p>
    <w:p w14:paraId="2263F6F0" w14:textId="77777777" w:rsidR="00FB68BF" w:rsidRPr="00FB68BF" w:rsidRDefault="00FB68BF" w:rsidP="00FB68BF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B68BF">
        <w:rPr>
          <w:rFonts w:ascii="Times New Roman" w:hAnsi="Times New Roman" w:cs="Times New Roman"/>
          <w:b/>
          <w:bCs/>
          <w:color w:val="156082" w:themeColor="accent1"/>
        </w:rPr>
        <w:t>Compliance Information</w:t>
      </w:r>
    </w:p>
    <w:p w14:paraId="70052B6D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"Compliance Information" means information relating to compliance with Applicable Laws, regulations, policies, standards, guidelines, regulatory requirements, industry codes, permits, approvals, licenses, or contractual obligations.</w:t>
      </w:r>
    </w:p>
    <w:p w14:paraId="115FF76D" w14:textId="77777777" w:rsidR="00FB68BF" w:rsidRPr="00FB68BF" w:rsidRDefault="00FB68BF" w:rsidP="00FB68BF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B68BF">
        <w:rPr>
          <w:rFonts w:ascii="Times New Roman" w:hAnsi="Times New Roman" w:cs="Times New Roman"/>
          <w:b/>
          <w:bCs/>
          <w:color w:val="156082" w:themeColor="accent1"/>
        </w:rPr>
        <w:t>Regulatory Due Diligence</w:t>
      </w:r>
    </w:p>
    <w:p w14:paraId="29A3C9C5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"Regulatory Due Diligence" means the review, assessment, investigation, verification, and evaluation of legal, regulatory, licensing, compliance, governance, and statutory matters relating to a business, project, transaction, operation, or opportunity.</w:t>
      </w:r>
    </w:p>
    <w:p w14:paraId="0B8054C0" w14:textId="77777777" w:rsidR="00FB68BF" w:rsidRPr="00FB68BF" w:rsidRDefault="00FB68BF" w:rsidP="00FB68BF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B68BF">
        <w:rPr>
          <w:rFonts w:ascii="Times New Roman" w:hAnsi="Times New Roman" w:cs="Times New Roman"/>
          <w:b/>
          <w:bCs/>
          <w:color w:val="156082" w:themeColor="accent1"/>
        </w:rPr>
        <w:t>Regulatory Filing</w:t>
      </w:r>
    </w:p>
    <w:p w14:paraId="553FF67B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lastRenderedPageBreak/>
        <w:t>"Regulatory Filing" means any application, registration, return, report, declaration, notification, disclosure, submission, response, correspondence, or document filed with or submitted to a Regulatory Authority.</w:t>
      </w:r>
    </w:p>
    <w:p w14:paraId="11DFB762" w14:textId="77777777" w:rsidR="00FB68BF" w:rsidRPr="00FB68BF" w:rsidRDefault="00FB68BF" w:rsidP="00FB68BF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B68BF">
        <w:rPr>
          <w:rFonts w:ascii="Times New Roman" w:hAnsi="Times New Roman" w:cs="Times New Roman"/>
          <w:b/>
          <w:bCs/>
          <w:color w:val="156082" w:themeColor="accent1"/>
        </w:rPr>
        <w:t>Compliance Assessment</w:t>
      </w:r>
    </w:p>
    <w:p w14:paraId="443C4B7C" w14:textId="6006D5FB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"Compliance Assessment" means any audit, review, investigation, assessment, verification, inspection, compliance review, gap analysis, or regulatory evaluation conducted in connection with the Purpose.</w:t>
      </w:r>
    </w:p>
    <w:p w14:paraId="5828A9D7" w14:textId="77777777" w:rsidR="00FB68BF" w:rsidRPr="00FB68BF" w:rsidRDefault="00FB68BF" w:rsidP="00FB68B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B68BF">
        <w:rPr>
          <w:rFonts w:ascii="Times New Roman" w:hAnsi="Times New Roman" w:cs="Times New Roman"/>
          <w:b/>
          <w:bCs/>
          <w:color w:val="156082" w:themeColor="accent1"/>
        </w:rPr>
        <w:t>D. CONFIDENTIAL INFORMATION EXPANSION</w:t>
      </w:r>
    </w:p>
    <w:p w14:paraId="2B08761F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Without limitation, Confidential Information includes:</w:t>
      </w:r>
    </w:p>
    <w:p w14:paraId="7EA85501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(a) licenses, permits, approvals, authorizations, registrations, certifications, exemptions, waivers, and related regulatory documentation;</w:t>
      </w:r>
    </w:p>
    <w:p w14:paraId="1AD20E16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(b) regulatory filings, regulatory applications, statutory returns, governmental submissions, regulatory correspondence, and approval documentation;</w:t>
      </w:r>
    </w:p>
    <w:p w14:paraId="07732C40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(c) compliance reports, compliance assessments, audit findings, inspection reports, investigation reports, regulatory reviews, and monitoring reports;</w:t>
      </w:r>
    </w:p>
    <w:p w14:paraId="687546F3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(d) internal compliance policies, governance frameworks, risk management frameworks, control procedures, internal guidelines, and compliance manuals;</w:t>
      </w:r>
    </w:p>
    <w:p w14:paraId="762FBEDA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(e) legal opinions, legal analyses, legal risk assessments, litigation information, dispute information, enforcement actions, and legal compliance reviews;</w:t>
      </w:r>
    </w:p>
    <w:p w14:paraId="20B9A496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(f) environmental compliance information, health and safety compliance information, labor law compliance information, data protection compliance information, and sector-specific regulatory compliance information;</w:t>
      </w:r>
    </w:p>
    <w:p w14:paraId="0CEBDDD8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(g) regulatory notices, show-cause notices, warning letters, compliance directives, enforcement notices, penalty notices, and corrective action plans;</w:t>
      </w:r>
    </w:p>
    <w:p w14:paraId="4FAA68A8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(h) communications with Regulatory Authorities, governmental authorities, statutory bodies, administrative agencies, and public authorities;</w:t>
      </w:r>
    </w:p>
    <w:p w14:paraId="577DCFEB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(i) licensing strategies, approval strategies, permit acquisition strategies, regulatory engagement plans, and compliance roadmaps;</w:t>
      </w:r>
    </w:p>
    <w:p w14:paraId="109E50E0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(j) corporate governance information, board resolutions, committee reports, governance reviews, and governance assessments;</w:t>
      </w:r>
    </w:p>
    <w:p w14:paraId="2491676F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(k) compliance training materials, compliance certifications, employee compliance records, compliance declarations, and compliance monitoring information;</w:t>
      </w:r>
    </w:p>
    <w:p w14:paraId="7939E0CB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(l) due diligence reports, risk assessments, gap analyses, remediation plans, corrective action plans, and regulatory evaluation reports; and</w:t>
      </w:r>
    </w:p>
    <w:p w14:paraId="70E9E637" w14:textId="589C4DF8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lastRenderedPageBreak/>
        <w:t>(m) any other legal, regulatory, compliance-related, governance-related, licensing-related, operational, financial, technical, strategic, or proprietary information disclosed in connection with the Regulatory Due Diligence.</w:t>
      </w:r>
    </w:p>
    <w:p w14:paraId="5831CE0E" w14:textId="77777777" w:rsidR="00FB68BF" w:rsidRPr="00FB68BF" w:rsidRDefault="00FB68BF" w:rsidP="00FB68B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FB68BF">
        <w:rPr>
          <w:rFonts w:ascii="Times New Roman" w:hAnsi="Times New Roman" w:cs="Times New Roman"/>
          <w:b/>
          <w:bCs/>
          <w:color w:val="156082" w:themeColor="accent1"/>
        </w:rPr>
        <w:t>E. OPTIONAL INTRODUCED CONTACTS DATASET</w:t>
      </w:r>
    </w:p>
    <w:p w14:paraId="09BAD584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Regulatory Authorities</w:t>
      </w:r>
    </w:p>
    <w:p w14:paraId="5F9DE80B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Government Departments</w:t>
      </w:r>
    </w:p>
    <w:p w14:paraId="47DBC596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Statutory Authorities</w:t>
      </w:r>
    </w:p>
    <w:p w14:paraId="5537F24B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Compliance Officers</w:t>
      </w:r>
    </w:p>
    <w:p w14:paraId="5E57092D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Legal Advisors</w:t>
      </w:r>
    </w:p>
    <w:p w14:paraId="4C07ECB2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Regulatory Consultants</w:t>
      </w:r>
    </w:p>
    <w:p w14:paraId="67105156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Auditors</w:t>
      </w:r>
    </w:p>
    <w:p w14:paraId="780D46ED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Investigators</w:t>
      </w:r>
    </w:p>
    <w:p w14:paraId="3066E783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Licensing Authorities</w:t>
      </w:r>
    </w:p>
    <w:p w14:paraId="76CC5857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Environmental Authorities</w:t>
      </w:r>
    </w:p>
    <w:p w14:paraId="1865F3F3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Industry Regulators</w:t>
      </w:r>
    </w:p>
    <w:p w14:paraId="1A4C6BF3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Certification Bodies</w:t>
      </w:r>
    </w:p>
    <w:p w14:paraId="00D60560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Inspection Agencies</w:t>
      </w:r>
    </w:p>
    <w:p w14:paraId="2D98DAEA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Government Agencies</w:t>
      </w:r>
    </w:p>
    <w:p w14:paraId="5C130ED6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Public Authorities</w:t>
      </w:r>
    </w:p>
    <w:p w14:paraId="622D0630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Board Members</w:t>
      </w:r>
    </w:p>
    <w:p w14:paraId="74534AE2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Corporate Secretaries</w:t>
      </w:r>
    </w:p>
    <w:p w14:paraId="3A6CAC13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Risk Advisors</w:t>
      </w:r>
    </w:p>
    <w:p w14:paraId="761224FF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Compliance Consultants</w:t>
      </w:r>
    </w:p>
    <w:p w14:paraId="31225182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Industry Experts</w:t>
      </w:r>
    </w:p>
    <w:p w14:paraId="0C9DC045" w14:textId="39779402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  <w:r w:rsidRPr="00FB68BF">
        <w:rPr>
          <w:rFonts w:ascii="Times New Roman" w:hAnsi="Times New Roman" w:cs="Times New Roman"/>
          <w:color w:val="156082" w:themeColor="accent1"/>
        </w:rPr>
        <w:t>Commercial Counter</w:t>
      </w:r>
      <w:r w:rsidR="00CC4A1A">
        <w:rPr>
          <w:rFonts w:ascii="Times New Roman" w:hAnsi="Times New Roman" w:cs="Times New Roman"/>
          <w:color w:val="156082" w:themeColor="accent1"/>
        </w:rPr>
        <w:t>parties</w:t>
      </w:r>
    </w:p>
    <w:p w14:paraId="4329B75A" w14:textId="77777777" w:rsidR="00FB68BF" w:rsidRPr="00FB68BF" w:rsidRDefault="00FB68BF" w:rsidP="00FB68BF">
      <w:pPr>
        <w:jc w:val="both"/>
        <w:rPr>
          <w:rFonts w:ascii="Times New Roman" w:hAnsi="Times New Roman" w:cs="Times New Roman"/>
          <w:color w:val="156082" w:themeColor="accent1"/>
        </w:rPr>
      </w:pPr>
    </w:p>
    <w:sectPr w:rsidR="00FB68BF" w:rsidRPr="00FB6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4258"/>
    <w:multiLevelType w:val="multilevel"/>
    <w:tmpl w:val="C6AE8F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35DF7569"/>
    <w:multiLevelType w:val="multilevel"/>
    <w:tmpl w:val="F73EB52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D520B28"/>
    <w:multiLevelType w:val="multilevel"/>
    <w:tmpl w:val="66DA3CA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563621E5"/>
    <w:multiLevelType w:val="multilevel"/>
    <w:tmpl w:val="210EA0C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8CC5508"/>
    <w:multiLevelType w:val="multilevel"/>
    <w:tmpl w:val="9A02D99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86B7599"/>
    <w:multiLevelType w:val="multilevel"/>
    <w:tmpl w:val="949A482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514809488">
    <w:abstractNumId w:val="0"/>
  </w:num>
  <w:num w:numId="2" w16cid:durableId="1390612588">
    <w:abstractNumId w:val="5"/>
  </w:num>
  <w:num w:numId="3" w16cid:durableId="309402647">
    <w:abstractNumId w:val="1"/>
  </w:num>
  <w:num w:numId="4" w16cid:durableId="931280754">
    <w:abstractNumId w:val="2"/>
  </w:num>
  <w:num w:numId="5" w16cid:durableId="1275284763">
    <w:abstractNumId w:val="4"/>
  </w:num>
  <w:num w:numId="6" w16cid:durableId="1038435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BF"/>
    <w:rsid w:val="001C415A"/>
    <w:rsid w:val="00CC4A1A"/>
    <w:rsid w:val="00FB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0B04E"/>
  <w15:chartTrackingRefBased/>
  <w15:docId w15:val="{E82011AD-824F-4F84-A137-5717EB1AC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2</cp:revision>
  <dcterms:created xsi:type="dcterms:W3CDTF">2026-06-09T17:51:00Z</dcterms:created>
  <dcterms:modified xsi:type="dcterms:W3CDTF">2026-06-09T17:54:00Z</dcterms:modified>
</cp:coreProperties>
</file>