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B49B" w14:textId="77777777" w:rsidR="00295000" w:rsidRPr="00295000" w:rsidRDefault="00295000" w:rsidP="00295000">
      <w:pPr>
        <w:jc w:val="center"/>
        <w:rPr>
          <w:rFonts w:ascii="Times New Roman" w:hAnsi="Times New Roman" w:cs="Times New Roman"/>
          <w:b/>
          <w:bCs/>
          <w:color w:val="156082" w:themeColor="accent1"/>
          <w:u w:val="single"/>
        </w:rPr>
      </w:pPr>
      <w:r w:rsidRPr="00295000">
        <w:rPr>
          <w:rFonts w:ascii="Times New Roman" w:hAnsi="Times New Roman" w:cs="Times New Roman"/>
          <w:b/>
          <w:bCs/>
          <w:color w:val="156082" w:themeColor="accent1"/>
          <w:u w:val="single"/>
        </w:rPr>
        <w:t>GC-27 – DEBT FINANCING DISCUSSIONS</w:t>
      </w:r>
    </w:p>
    <w:p w14:paraId="30716890" w14:textId="77777777" w:rsidR="00295000" w:rsidRPr="00295000" w:rsidRDefault="00295000" w:rsidP="00295000">
      <w:pPr>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A. PURPOSE DEFINITION</w:t>
      </w:r>
    </w:p>
    <w:p w14:paraId="6DC3E773" w14:textId="51F023EA"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"Purpose" means the evaluation, discussion, negotiation, structuring, arrangement, provision, participation, syndication, refinancing, restructuring, or potential establishment of a debt financing arrangement, loan facility, credit facility, project financing transaction, structured financing transaction, or other financing relationship between the Parties.</w:t>
      </w:r>
    </w:p>
    <w:p w14:paraId="0F931A2C" w14:textId="77777777" w:rsidR="00295000" w:rsidRPr="00295000" w:rsidRDefault="00295000" w:rsidP="00295000">
      <w:pPr>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B. RECITAL VARIANT</w:t>
      </w:r>
    </w:p>
    <w:p w14:paraId="195FB2F9" w14:textId="77777777" w:rsidR="00295000" w:rsidRPr="00295000" w:rsidRDefault="00295000" w:rsidP="00295000">
      <w:pPr>
        <w:jc w:val="both"/>
        <w:rPr>
          <w:rFonts w:ascii="Times New Roman" w:hAnsi="Times New Roman" w:cs="Times New Roman"/>
          <w:color w:val="156082" w:themeColor="accent1"/>
        </w:rPr>
      </w:pPr>
      <w:proofErr w:type="gramStart"/>
      <w:r w:rsidRPr="00295000">
        <w:rPr>
          <w:rFonts w:ascii="Times New Roman" w:hAnsi="Times New Roman" w:cs="Times New Roman"/>
          <w:color w:val="156082" w:themeColor="accent1"/>
        </w:rPr>
        <w:t>WHEREAS,</w:t>
      </w:r>
      <w:proofErr w:type="gramEnd"/>
      <w:r w:rsidRPr="00295000">
        <w:rPr>
          <w:rFonts w:ascii="Times New Roman" w:hAnsi="Times New Roman" w:cs="Times New Roman"/>
          <w:color w:val="156082" w:themeColor="accent1"/>
        </w:rPr>
        <w:t xml:space="preserve"> the Parties desire to evaluate and discuss a potential debt financing arrangement, loan transaction, project financing transaction, credit facility, refinancing arrangement, structured financing transaction, or other financing opportunity;</w:t>
      </w:r>
    </w:p>
    <w:p w14:paraId="0761BBA6"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WHEREAS, in connection with such discussions, evaluations, negotiations, and financing activities, the Parties may disclose and exchange confidential financial, commercial, operational, technical, legal, security-related, project-related, and proprietary information;</w:t>
      </w:r>
    </w:p>
    <w:p w14:paraId="03964286" w14:textId="3620A139" w:rsidR="00295000" w:rsidRPr="00295000" w:rsidRDefault="00295000" w:rsidP="00295000">
      <w:pPr>
        <w:jc w:val="both"/>
        <w:rPr>
          <w:rFonts w:ascii="Times New Roman" w:hAnsi="Times New Roman" w:cs="Times New Roman"/>
          <w:color w:val="156082" w:themeColor="accent1"/>
        </w:rPr>
      </w:pPr>
      <w:proofErr w:type="gramStart"/>
      <w:r w:rsidRPr="00295000">
        <w:rPr>
          <w:rFonts w:ascii="Times New Roman" w:hAnsi="Times New Roman" w:cs="Times New Roman"/>
          <w:color w:val="156082" w:themeColor="accent1"/>
        </w:rPr>
        <w:t>WHEREAS,</w:t>
      </w:r>
      <w:proofErr w:type="gramEnd"/>
      <w:r w:rsidRPr="00295000">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3682AE60" w14:textId="77777777" w:rsidR="00295000" w:rsidRPr="00295000" w:rsidRDefault="00295000" w:rsidP="00295000">
      <w:pPr>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C. ADDITIONAL DEFINITIONS</w:t>
      </w:r>
    </w:p>
    <w:p w14:paraId="4E686C58" w14:textId="77777777" w:rsidR="00295000" w:rsidRPr="00295000" w:rsidRDefault="00295000" w:rsidP="00295000">
      <w:pPr>
        <w:numPr>
          <w:ilvl w:val="0"/>
          <w:numId w:val="1"/>
        </w:numPr>
        <w:tabs>
          <w:tab w:val="clear" w:pos="360"/>
          <w:tab w:val="num" w:pos="720"/>
        </w:tabs>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Financing Transaction</w:t>
      </w:r>
    </w:p>
    <w:p w14:paraId="17115326"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"Financing Transaction" means any actual, proposed, contemplated, or potential loan facility, credit facility, project financing arrangement, debt financing transaction, refinancing transaction, structured finance transaction, working capital facility, or other financing arrangement being evaluated in connection with the Purpose.</w:t>
      </w:r>
    </w:p>
    <w:p w14:paraId="0EAF90DB" w14:textId="77777777" w:rsidR="00295000" w:rsidRPr="00295000" w:rsidRDefault="00295000" w:rsidP="00295000">
      <w:pPr>
        <w:numPr>
          <w:ilvl w:val="0"/>
          <w:numId w:val="2"/>
        </w:numPr>
        <w:tabs>
          <w:tab w:val="clear" w:pos="360"/>
          <w:tab w:val="num" w:pos="720"/>
        </w:tabs>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Financing Information</w:t>
      </w:r>
    </w:p>
    <w:p w14:paraId="0054CFF2"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"Financing Information" means information relating to financing structures, loan terms, repayment arrangements, financing requirements, funding requirements, facility terms, security arrangements, and lender assessments.</w:t>
      </w:r>
    </w:p>
    <w:p w14:paraId="50BA14BC" w14:textId="77777777" w:rsidR="00295000" w:rsidRPr="00295000" w:rsidRDefault="00295000" w:rsidP="00295000">
      <w:pPr>
        <w:numPr>
          <w:ilvl w:val="0"/>
          <w:numId w:val="3"/>
        </w:numPr>
        <w:tabs>
          <w:tab w:val="clear" w:pos="360"/>
          <w:tab w:val="num" w:pos="720"/>
        </w:tabs>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Facility Documentation</w:t>
      </w:r>
    </w:p>
    <w:p w14:paraId="0DBA5561"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"Facility Documentation" means loan agreements, facility agreements, financing documents, security documents, guarantees, undertakings, term sheets, intercreditor agreements, and other documents relating to the Financing Transaction.</w:t>
      </w:r>
    </w:p>
    <w:p w14:paraId="406A2D60" w14:textId="77777777" w:rsidR="00295000" w:rsidRPr="00295000" w:rsidRDefault="00295000" w:rsidP="00295000">
      <w:pPr>
        <w:numPr>
          <w:ilvl w:val="0"/>
          <w:numId w:val="4"/>
        </w:numPr>
        <w:tabs>
          <w:tab w:val="clear" w:pos="360"/>
          <w:tab w:val="num" w:pos="720"/>
        </w:tabs>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Security Information</w:t>
      </w:r>
    </w:p>
    <w:p w14:paraId="445B8C20"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"Security Information" means information relating to collateral, guarantees, security interests, mortgages, charges, pledges, assignments, encumbrances, security packages, and credit support arrangements.</w:t>
      </w:r>
    </w:p>
    <w:p w14:paraId="071B6FB6" w14:textId="77777777" w:rsidR="00295000" w:rsidRPr="00295000" w:rsidRDefault="00295000" w:rsidP="00295000">
      <w:pPr>
        <w:numPr>
          <w:ilvl w:val="0"/>
          <w:numId w:val="5"/>
        </w:numPr>
        <w:tabs>
          <w:tab w:val="clear" w:pos="360"/>
          <w:tab w:val="num" w:pos="720"/>
        </w:tabs>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Financial Information</w:t>
      </w:r>
    </w:p>
    <w:p w14:paraId="4299428D"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lastRenderedPageBreak/>
        <w:t>"Financial Information" means financial statements, management accounts, budgets, forecasts, cash flow analyses, debt service analyses, financial models, and related financial information relevant to the Financing Transaction.</w:t>
      </w:r>
    </w:p>
    <w:p w14:paraId="0C9B0639" w14:textId="77777777" w:rsidR="00295000" w:rsidRPr="00295000" w:rsidRDefault="00295000" w:rsidP="00295000">
      <w:pPr>
        <w:numPr>
          <w:ilvl w:val="0"/>
          <w:numId w:val="6"/>
        </w:numPr>
        <w:tabs>
          <w:tab w:val="clear" w:pos="360"/>
          <w:tab w:val="num" w:pos="720"/>
        </w:tabs>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Lender Information</w:t>
      </w:r>
    </w:p>
    <w:p w14:paraId="6E587F65" w14:textId="2DB417F6"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"Lender Information" means information relating to lenders, financial institutions, syndicate participants, financing partners, credit committees, financing assessments, and lending decisions.</w:t>
      </w:r>
    </w:p>
    <w:p w14:paraId="541C4358" w14:textId="77777777" w:rsidR="00295000" w:rsidRPr="00295000" w:rsidRDefault="00295000" w:rsidP="00295000">
      <w:pPr>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D. CONFIDENTIAL INFORMATION EXPANSION</w:t>
      </w:r>
    </w:p>
    <w:p w14:paraId="5B507855"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Without limitation, Confidential Information includes:</w:t>
      </w:r>
    </w:p>
    <w:p w14:paraId="39254E43"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(a) financing proposals, financing structures, funding plans, loan requirements, credit requirements, and financing strategies;</w:t>
      </w:r>
    </w:p>
    <w:p w14:paraId="67384411"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(b) term sheets, financing proposals, facility agreements, security documents, guarantees, and financing-related contractual arrangements;</w:t>
      </w:r>
    </w:p>
    <w:p w14:paraId="7498374F"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(c) financial statements, management accounts, budgets, forecasts, cash flow projections, debt service projections, and financial models;</w:t>
      </w:r>
    </w:p>
    <w:p w14:paraId="0E8ECA90"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(d) collateral information, security packages, asset information, guarantees, credit support arrangements, and security structures;</w:t>
      </w:r>
    </w:p>
    <w:p w14:paraId="16FDA957"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(e) project information, project reports, project feasibility studies, project forecasts, project contracts, and project implementation plans;</w:t>
      </w:r>
    </w:p>
    <w:p w14:paraId="1C563CD5"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(f) lender assessments, due diligence reports, credit analyses, financing evaluations, underwriting reports, and financing recommendations;</w:t>
      </w:r>
    </w:p>
    <w:p w14:paraId="33688322"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(g) repayment structures, amortization schedules, interest structures, financing costs, covenant structures, and facility terms;</w:t>
      </w:r>
    </w:p>
    <w:p w14:paraId="4B7B7B54"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(h) corporate information, ownership information, organizational structures, governance information, and management information relevant to the Financing Transaction;</w:t>
      </w:r>
    </w:p>
    <w:p w14:paraId="5B372666"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w:t>
      </w:r>
      <w:proofErr w:type="spellStart"/>
      <w:r w:rsidRPr="00295000">
        <w:rPr>
          <w:rFonts w:ascii="Times New Roman" w:hAnsi="Times New Roman" w:cs="Times New Roman"/>
          <w:color w:val="156082" w:themeColor="accent1"/>
        </w:rPr>
        <w:t>i</w:t>
      </w:r>
      <w:proofErr w:type="spellEnd"/>
      <w:r w:rsidRPr="00295000">
        <w:rPr>
          <w:rFonts w:ascii="Times New Roman" w:hAnsi="Times New Roman" w:cs="Times New Roman"/>
          <w:color w:val="156082" w:themeColor="accent1"/>
        </w:rPr>
        <w:t>) regulatory approvals, licenses, permits, compliance information, legal opinions, and regulatory assessments relevant to financing;</w:t>
      </w:r>
    </w:p>
    <w:p w14:paraId="6DC8EB92"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(j) refinancing plans, restructuring plans, funding strategies, liquidity management plans, and treasury management information;</w:t>
      </w:r>
    </w:p>
    <w:p w14:paraId="50023C0B"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(k) communications with lenders, financing institutions, advisors, rating agencies, guarantors, security trustees, and financing participants;</w:t>
      </w:r>
    </w:p>
    <w:p w14:paraId="00C66384"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(l) transaction documentation, financing negotiations, commercial terms, conditions precedent, conditions subsequent, and transaction assessments; and</w:t>
      </w:r>
    </w:p>
    <w:p w14:paraId="3917CB59" w14:textId="44C7B4A0"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lastRenderedPageBreak/>
        <w:t>(m) any other financial, commercial, operational, legal, technical, project-related, lender-related, financing-related, security-related, strategic, or proprietary information disclosed in connection with the Financing Transaction.</w:t>
      </w:r>
    </w:p>
    <w:p w14:paraId="60E0F251" w14:textId="77777777" w:rsidR="00295000" w:rsidRPr="00295000" w:rsidRDefault="00295000" w:rsidP="00295000">
      <w:pPr>
        <w:jc w:val="both"/>
        <w:rPr>
          <w:rFonts w:ascii="Times New Roman" w:hAnsi="Times New Roman" w:cs="Times New Roman"/>
          <w:b/>
          <w:bCs/>
          <w:color w:val="156082" w:themeColor="accent1"/>
        </w:rPr>
      </w:pPr>
      <w:r w:rsidRPr="00295000">
        <w:rPr>
          <w:rFonts w:ascii="Times New Roman" w:hAnsi="Times New Roman" w:cs="Times New Roman"/>
          <w:b/>
          <w:bCs/>
          <w:color w:val="156082" w:themeColor="accent1"/>
        </w:rPr>
        <w:t>E. OPTIONAL INTRODUCED CONTACTS DATASET</w:t>
      </w:r>
    </w:p>
    <w:p w14:paraId="30BCF73A"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Banks</w:t>
      </w:r>
    </w:p>
    <w:p w14:paraId="5C6531D4"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Financial Institutions</w:t>
      </w:r>
    </w:p>
    <w:p w14:paraId="31356FFA"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Lenders</w:t>
      </w:r>
    </w:p>
    <w:p w14:paraId="6A159B1E"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Syndicate Lenders</w:t>
      </w:r>
    </w:p>
    <w:p w14:paraId="59ECAACF"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Lead Arrangers</w:t>
      </w:r>
    </w:p>
    <w:p w14:paraId="6761AA07"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Facility Agents</w:t>
      </w:r>
    </w:p>
    <w:p w14:paraId="28C4BECA"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Security Trustees</w:t>
      </w:r>
    </w:p>
    <w:p w14:paraId="1ED8029B"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Credit Committees</w:t>
      </w:r>
    </w:p>
    <w:p w14:paraId="5FE8C920"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Investors</w:t>
      </w:r>
    </w:p>
    <w:p w14:paraId="0078C225"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Project Sponsors</w:t>
      </w:r>
    </w:p>
    <w:p w14:paraId="33BCC009"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Financial Advisors</w:t>
      </w:r>
    </w:p>
    <w:p w14:paraId="6B1FF4C1"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Legal Advisors</w:t>
      </w:r>
    </w:p>
    <w:p w14:paraId="43FD9380"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Technical Advisors</w:t>
      </w:r>
    </w:p>
    <w:p w14:paraId="72106FA3"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Independent Engineers</w:t>
      </w:r>
    </w:p>
    <w:p w14:paraId="7B97ADC2"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Rating Agencies</w:t>
      </w:r>
    </w:p>
    <w:p w14:paraId="04F1DAE6"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Guarantors</w:t>
      </w:r>
    </w:p>
    <w:p w14:paraId="4D6760ED"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Insurance Providers</w:t>
      </w:r>
    </w:p>
    <w:p w14:paraId="11FE46DB" w14:textId="77777777"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Government Authorities</w:t>
      </w:r>
    </w:p>
    <w:p w14:paraId="62F10278" w14:textId="57615770" w:rsid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Regulatory Authoritie</w:t>
      </w:r>
      <w:r>
        <w:rPr>
          <w:rFonts w:ascii="Times New Roman" w:hAnsi="Times New Roman" w:cs="Times New Roman"/>
          <w:color w:val="156082" w:themeColor="accent1"/>
        </w:rPr>
        <w:t>s</w:t>
      </w:r>
    </w:p>
    <w:p w14:paraId="3F175901" w14:textId="202535FC" w:rsidR="00295000" w:rsidRPr="00295000" w:rsidRDefault="00295000" w:rsidP="00295000">
      <w:pPr>
        <w:jc w:val="both"/>
        <w:rPr>
          <w:rFonts w:ascii="Times New Roman" w:hAnsi="Times New Roman" w:cs="Times New Roman"/>
          <w:color w:val="156082" w:themeColor="accent1"/>
        </w:rPr>
      </w:pPr>
      <w:r w:rsidRPr="00295000">
        <w:rPr>
          <w:rFonts w:ascii="Times New Roman" w:hAnsi="Times New Roman" w:cs="Times New Roman"/>
          <w:color w:val="156082" w:themeColor="accent1"/>
        </w:rPr>
        <w:t>Commercial Counterparties</w:t>
      </w:r>
    </w:p>
    <w:p w14:paraId="5B934587" w14:textId="77777777" w:rsidR="00295000" w:rsidRPr="00295000" w:rsidRDefault="00295000" w:rsidP="00295000">
      <w:pPr>
        <w:jc w:val="both"/>
        <w:rPr>
          <w:rFonts w:ascii="Times New Roman" w:hAnsi="Times New Roman" w:cs="Times New Roman"/>
          <w:color w:val="156082" w:themeColor="accent1"/>
        </w:rPr>
      </w:pPr>
    </w:p>
    <w:sectPr w:rsidR="00295000" w:rsidRPr="00295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41D79"/>
    <w:multiLevelType w:val="multilevel"/>
    <w:tmpl w:val="C26653F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42870556"/>
    <w:multiLevelType w:val="multilevel"/>
    <w:tmpl w:val="ECDC4CA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4D021AB9"/>
    <w:multiLevelType w:val="multilevel"/>
    <w:tmpl w:val="DFD233C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0F6088C"/>
    <w:multiLevelType w:val="multilevel"/>
    <w:tmpl w:val="294E1FE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1887854"/>
    <w:multiLevelType w:val="multilevel"/>
    <w:tmpl w:val="2198481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0DD145E"/>
    <w:multiLevelType w:val="multilevel"/>
    <w:tmpl w:val="394A3D5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357782788">
    <w:abstractNumId w:val="3"/>
  </w:num>
  <w:num w:numId="2" w16cid:durableId="1293901081">
    <w:abstractNumId w:val="1"/>
  </w:num>
  <w:num w:numId="3" w16cid:durableId="1671832051">
    <w:abstractNumId w:val="2"/>
  </w:num>
  <w:num w:numId="4" w16cid:durableId="758674975">
    <w:abstractNumId w:val="0"/>
  </w:num>
  <w:num w:numId="5" w16cid:durableId="438721000">
    <w:abstractNumId w:val="4"/>
  </w:num>
  <w:num w:numId="6" w16cid:durableId="10970170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000"/>
    <w:rsid w:val="001C415A"/>
    <w:rsid w:val="00295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8529"/>
  <w15:chartTrackingRefBased/>
  <w15:docId w15:val="{BEB05826-5D3D-4413-BB1F-744C05E04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5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5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5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5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5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5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000"/>
    <w:rPr>
      <w:rFonts w:eastAsiaTheme="majorEastAsia" w:cstheme="majorBidi"/>
      <w:color w:val="272727" w:themeColor="text1" w:themeTint="D8"/>
    </w:rPr>
  </w:style>
  <w:style w:type="paragraph" w:styleId="Title">
    <w:name w:val="Title"/>
    <w:basedOn w:val="Normal"/>
    <w:next w:val="Normal"/>
    <w:link w:val="TitleChar"/>
    <w:uiPriority w:val="10"/>
    <w:qFormat/>
    <w:rsid w:val="00295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000"/>
    <w:pPr>
      <w:spacing w:before="160"/>
      <w:jc w:val="center"/>
    </w:pPr>
    <w:rPr>
      <w:i/>
      <w:iCs/>
      <w:color w:val="404040" w:themeColor="text1" w:themeTint="BF"/>
    </w:rPr>
  </w:style>
  <w:style w:type="character" w:customStyle="1" w:styleId="QuoteChar">
    <w:name w:val="Quote Char"/>
    <w:basedOn w:val="DefaultParagraphFont"/>
    <w:link w:val="Quote"/>
    <w:uiPriority w:val="29"/>
    <w:rsid w:val="00295000"/>
    <w:rPr>
      <w:i/>
      <w:iCs/>
      <w:color w:val="404040" w:themeColor="text1" w:themeTint="BF"/>
    </w:rPr>
  </w:style>
  <w:style w:type="paragraph" w:styleId="ListParagraph">
    <w:name w:val="List Paragraph"/>
    <w:basedOn w:val="Normal"/>
    <w:uiPriority w:val="34"/>
    <w:qFormat/>
    <w:rsid w:val="00295000"/>
    <w:pPr>
      <w:ind w:left="720"/>
      <w:contextualSpacing/>
    </w:pPr>
  </w:style>
  <w:style w:type="character" w:styleId="IntenseEmphasis">
    <w:name w:val="Intense Emphasis"/>
    <w:basedOn w:val="DefaultParagraphFont"/>
    <w:uiPriority w:val="21"/>
    <w:qFormat/>
    <w:rsid w:val="00295000"/>
    <w:rPr>
      <w:i/>
      <w:iCs/>
      <w:color w:val="0F4761" w:themeColor="accent1" w:themeShade="BF"/>
    </w:rPr>
  </w:style>
  <w:style w:type="paragraph" w:styleId="IntenseQuote">
    <w:name w:val="Intense Quote"/>
    <w:basedOn w:val="Normal"/>
    <w:next w:val="Normal"/>
    <w:link w:val="IntenseQuoteChar"/>
    <w:uiPriority w:val="30"/>
    <w:qFormat/>
    <w:rsid w:val="00295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000"/>
    <w:rPr>
      <w:i/>
      <w:iCs/>
      <w:color w:val="0F4761" w:themeColor="accent1" w:themeShade="BF"/>
    </w:rPr>
  </w:style>
  <w:style w:type="character" w:styleId="IntenseReference">
    <w:name w:val="Intense Reference"/>
    <w:basedOn w:val="DefaultParagraphFont"/>
    <w:uiPriority w:val="32"/>
    <w:qFormat/>
    <w:rsid w:val="00295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754</Words>
  <Characters>4303</Characters>
  <Application>Microsoft Office Word</Application>
  <DocSecurity>0</DocSecurity>
  <Lines>35</Lines>
  <Paragraphs>10</Paragraphs>
  <ScaleCrop>false</ScaleCrop>
  <Company/>
  <LinksUpToDate>false</LinksUpToDate>
  <CharactersWithSpaces>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2026-06-09T17:55:00Z</dcterms:created>
  <dcterms:modified xsi:type="dcterms:W3CDTF">2026-06-09T17:58:00Z</dcterms:modified>
</cp:coreProperties>
</file>