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AB6C" w14:textId="77777777" w:rsidR="00CB67F2" w:rsidRPr="00CB67F2" w:rsidRDefault="00CB67F2" w:rsidP="00CB67F2">
      <w:pPr>
        <w:jc w:val="center"/>
        <w:rPr>
          <w:rFonts w:ascii="Times New Roman" w:hAnsi="Times New Roman" w:cs="Times New Roman"/>
          <w:b/>
          <w:bCs/>
          <w:color w:val="156082" w:themeColor="accent1"/>
          <w:u w:val="single"/>
        </w:rPr>
      </w:pPr>
      <w:r w:rsidRPr="00CB67F2">
        <w:rPr>
          <w:rFonts w:ascii="Times New Roman" w:hAnsi="Times New Roman" w:cs="Times New Roman"/>
          <w:b/>
          <w:bCs/>
          <w:color w:val="156082" w:themeColor="accent1"/>
          <w:u w:val="single"/>
        </w:rPr>
        <w:t>GC-28 – EQUITY FINANCING DISCUSSIONS</w:t>
      </w:r>
    </w:p>
    <w:p w14:paraId="08331BCA" w14:textId="77777777" w:rsidR="00CB67F2" w:rsidRPr="00CB67F2" w:rsidRDefault="00CB67F2" w:rsidP="00CB67F2">
      <w:pPr>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A. PURPOSE DEFINITION</w:t>
      </w:r>
    </w:p>
    <w:p w14:paraId="2AA634BA" w14:textId="44D68435"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"Purpose" means the evaluation, discussion, negotiation, structuring, investment, subscription, acquisition, issuance, transfer, funding, participation, or potential establishment of an equity financing transaction, strategic investment, venture capital investment, private equity investment, angel investment, convertible financing transaction, or other equity-related financing arrangement between the Parties.</w:t>
      </w:r>
    </w:p>
    <w:p w14:paraId="45417AB8" w14:textId="77777777" w:rsidR="00CB67F2" w:rsidRPr="00CB67F2" w:rsidRDefault="00CB67F2" w:rsidP="00CB67F2">
      <w:pPr>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B. RECITAL VARIANT</w:t>
      </w:r>
    </w:p>
    <w:p w14:paraId="7C0DB2B1" w14:textId="77777777" w:rsidR="00CB67F2" w:rsidRPr="00CB67F2" w:rsidRDefault="00CB67F2" w:rsidP="00CB67F2">
      <w:pPr>
        <w:jc w:val="both"/>
        <w:rPr>
          <w:rFonts w:ascii="Times New Roman" w:hAnsi="Times New Roman" w:cs="Times New Roman"/>
          <w:color w:val="156082" w:themeColor="accent1"/>
        </w:rPr>
      </w:pPr>
      <w:proofErr w:type="gramStart"/>
      <w:r w:rsidRPr="00CB67F2">
        <w:rPr>
          <w:rFonts w:ascii="Times New Roman" w:hAnsi="Times New Roman" w:cs="Times New Roman"/>
          <w:color w:val="156082" w:themeColor="accent1"/>
        </w:rPr>
        <w:t>WHEREAS,</w:t>
      </w:r>
      <w:proofErr w:type="gramEnd"/>
      <w:r w:rsidRPr="00CB67F2">
        <w:rPr>
          <w:rFonts w:ascii="Times New Roman" w:hAnsi="Times New Roman" w:cs="Times New Roman"/>
          <w:color w:val="156082" w:themeColor="accent1"/>
        </w:rPr>
        <w:t xml:space="preserve"> the Parties desire to evaluate and discuss a potential equity financing transaction, strategic investment, venture capital investment, private equity investment, fundraising transaction, share subscription, convertible financing arrangement, or other investment opportunity;</w:t>
      </w:r>
    </w:p>
    <w:p w14:paraId="348D25F0"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WHEREAS, in connection with such discussions, evaluations, negotiations, and financing activities, the Parties may disclose and exchange confidential financial, commercial, operational, technical, legal, strategic, investment-related, and proprietary information;</w:t>
      </w:r>
    </w:p>
    <w:p w14:paraId="4DFB4C51" w14:textId="71177C93" w:rsidR="00CB67F2" w:rsidRPr="00CB67F2" w:rsidRDefault="00CB67F2" w:rsidP="00CB67F2">
      <w:pPr>
        <w:jc w:val="both"/>
        <w:rPr>
          <w:rFonts w:ascii="Times New Roman" w:hAnsi="Times New Roman" w:cs="Times New Roman"/>
          <w:color w:val="156082" w:themeColor="accent1"/>
        </w:rPr>
      </w:pPr>
      <w:proofErr w:type="gramStart"/>
      <w:r w:rsidRPr="00CB67F2">
        <w:rPr>
          <w:rFonts w:ascii="Times New Roman" w:hAnsi="Times New Roman" w:cs="Times New Roman"/>
          <w:color w:val="156082" w:themeColor="accent1"/>
        </w:rPr>
        <w:t>WHEREAS,</w:t>
      </w:r>
      <w:proofErr w:type="gramEnd"/>
      <w:r w:rsidRPr="00CB67F2">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CAB9D50" w14:textId="77777777" w:rsidR="00CB67F2" w:rsidRPr="00CB67F2" w:rsidRDefault="00CB67F2" w:rsidP="00CB67F2">
      <w:pPr>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C. ADDITIONAL DEFINITIONS</w:t>
      </w:r>
    </w:p>
    <w:p w14:paraId="1EBED065" w14:textId="77777777" w:rsidR="00CB67F2" w:rsidRPr="00CB67F2" w:rsidRDefault="00CB67F2" w:rsidP="00CB67F2">
      <w:pPr>
        <w:numPr>
          <w:ilvl w:val="0"/>
          <w:numId w:val="1"/>
        </w:numPr>
        <w:tabs>
          <w:tab w:val="clear" w:pos="360"/>
          <w:tab w:val="num" w:pos="720"/>
        </w:tabs>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Equity Financing Transaction</w:t>
      </w:r>
    </w:p>
    <w:p w14:paraId="194D6D5D"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"Equity Financing Transaction" means any actual, proposed, contemplated, or potential investment transaction involving the issuance, subscription, purchase, transfer, acquisition, conversion, or ownership of shares, securities, ownership interests, or other equity instruments.</w:t>
      </w:r>
    </w:p>
    <w:p w14:paraId="4A6944E1" w14:textId="77777777" w:rsidR="00CB67F2" w:rsidRPr="00CB67F2" w:rsidRDefault="00CB67F2" w:rsidP="00CB67F2">
      <w:pPr>
        <w:numPr>
          <w:ilvl w:val="0"/>
          <w:numId w:val="2"/>
        </w:numPr>
        <w:tabs>
          <w:tab w:val="clear" w:pos="360"/>
          <w:tab w:val="num" w:pos="720"/>
        </w:tabs>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Investment Information</w:t>
      </w:r>
    </w:p>
    <w:p w14:paraId="43843924"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"Investment Information" means information relating to investment structures, investment terms, valuation methodologies, funding requirements, transaction terms, investor rights, and investment strategies.</w:t>
      </w:r>
    </w:p>
    <w:p w14:paraId="4290E5E8" w14:textId="77777777" w:rsidR="00CB67F2" w:rsidRPr="00CB67F2" w:rsidRDefault="00CB67F2" w:rsidP="00CB67F2">
      <w:pPr>
        <w:numPr>
          <w:ilvl w:val="0"/>
          <w:numId w:val="3"/>
        </w:numPr>
        <w:tabs>
          <w:tab w:val="clear" w:pos="360"/>
          <w:tab w:val="num" w:pos="720"/>
        </w:tabs>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Investor Information</w:t>
      </w:r>
    </w:p>
    <w:p w14:paraId="4BD0C83A"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"Investor Information" means information relating to investors, investment funds, investment criteria, investment mandates, portfolio strategies, investment capacities, and investment decision-making processes.</w:t>
      </w:r>
    </w:p>
    <w:p w14:paraId="239E35D5" w14:textId="77777777" w:rsidR="00CB67F2" w:rsidRPr="00CB67F2" w:rsidRDefault="00CB67F2" w:rsidP="00CB67F2">
      <w:pPr>
        <w:numPr>
          <w:ilvl w:val="0"/>
          <w:numId w:val="4"/>
        </w:numPr>
        <w:tabs>
          <w:tab w:val="clear" w:pos="360"/>
          <w:tab w:val="num" w:pos="720"/>
        </w:tabs>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Capitalization Information</w:t>
      </w:r>
    </w:p>
    <w:p w14:paraId="07840147"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"Capitalization Information" means information relating to share capital, shareholding structures, capitalization tables, ownership interests, equity allocation, option pools, dilution analyses, and securities issuances.</w:t>
      </w:r>
    </w:p>
    <w:p w14:paraId="6E31AC8C" w14:textId="77777777" w:rsidR="00CB67F2" w:rsidRPr="00CB67F2" w:rsidRDefault="00CB67F2" w:rsidP="00CB67F2">
      <w:pPr>
        <w:numPr>
          <w:ilvl w:val="0"/>
          <w:numId w:val="5"/>
        </w:numPr>
        <w:tabs>
          <w:tab w:val="clear" w:pos="360"/>
          <w:tab w:val="num" w:pos="720"/>
        </w:tabs>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Valuation Information</w:t>
      </w:r>
    </w:p>
    <w:p w14:paraId="02B57A10"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lastRenderedPageBreak/>
        <w:t>"Valuation Information" means information relating to company valuations, valuation methodologies, valuation models, pricing assumptions, investment pricing, and financial analyses supporting valuation conclusions.</w:t>
      </w:r>
    </w:p>
    <w:p w14:paraId="07186D64" w14:textId="77777777" w:rsidR="00CB67F2" w:rsidRPr="00CB67F2" w:rsidRDefault="00CB67F2" w:rsidP="00CB67F2">
      <w:pPr>
        <w:numPr>
          <w:ilvl w:val="0"/>
          <w:numId w:val="6"/>
        </w:numPr>
        <w:tabs>
          <w:tab w:val="clear" w:pos="360"/>
          <w:tab w:val="num" w:pos="720"/>
        </w:tabs>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Investment Documentation</w:t>
      </w:r>
    </w:p>
    <w:p w14:paraId="7D2017E7" w14:textId="11FC1258"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"Investment Documentation" means term sheets, subscription agreements, shareholders' agreements, investment agreements, convertible instrument documents, SAFE agreements, side letters, disclosure schedules, and related transaction documents.</w:t>
      </w:r>
    </w:p>
    <w:p w14:paraId="53420602" w14:textId="77777777" w:rsidR="00CB67F2" w:rsidRPr="00CB67F2" w:rsidRDefault="00CB67F2" w:rsidP="00CB67F2">
      <w:pPr>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D. CONFIDENTIAL INFORMATION EXPANSION</w:t>
      </w:r>
    </w:p>
    <w:p w14:paraId="26ED55C4"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Without limitation, Confidential Information includes:</w:t>
      </w:r>
    </w:p>
    <w:p w14:paraId="7A000E46"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(a) business plans, growth strategies, expansion plans, fundraising plans, capital raising strategies, and investment objectives;</w:t>
      </w:r>
    </w:p>
    <w:p w14:paraId="6F309DF8"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(b) financial statements, management accounts, financial models, budgets, forecasts, cash flow projections, and profitability analyses;</w:t>
      </w:r>
    </w:p>
    <w:p w14:paraId="37292DC1"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(c) capitalization tables, shareholding information, ownership structures, option plans, dilution analyses, and securities information;</w:t>
      </w:r>
    </w:p>
    <w:p w14:paraId="41CD05ED"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(d) company valuations, valuation reports, valuation methodologies, investment pricing analyses, and financial assessments;</w:t>
      </w:r>
    </w:p>
    <w:p w14:paraId="71693381"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(e) investor presentations, pitch decks, investment memoranda, information memoranda, teasers, executive summaries, and fundraising materials;</w:t>
      </w:r>
    </w:p>
    <w:p w14:paraId="6BE9D6F8"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(f) investment structures, transaction structures, investment terms, shareholder rights, governance rights, liquidation preferences, and investor protections;</w:t>
      </w:r>
    </w:p>
    <w:p w14:paraId="04E8D2B8"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(g) term sheets, subscription agreements, shareholders' agreements, investment agreements, convertible instrument documents, and transaction documentation;</w:t>
      </w:r>
    </w:p>
    <w:p w14:paraId="72E8A299"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(h) due diligence reports, legal due diligence reports, financial due diligence reports, tax reviews, compliance reviews, and investment assessments;</w:t>
      </w:r>
    </w:p>
    <w:p w14:paraId="61B2CBE7"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w:t>
      </w:r>
      <w:proofErr w:type="spellStart"/>
      <w:r w:rsidRPr="00CB67F2">
        <w:rPr>
          <w:rFonts w:ascii="Times New Roman" w:hAnsi="Times New Roman" w:cs="Times New Roman"/>
          <w:color w:val="156082" w:themeColor="accent1"/>
        </w:rPr>
        <w:t>i</w:t>
      </w:r>
      <w:proofErr w:type="spellEnd"/>
      <w:r w:rsidRPr="00CB67F2">
        <w:rPr>
          <w:rFonts w:ascii="Times New Roman" w:hAnsi="Times New Roman" w:cs="Times New Roman"/>
          <w:color w:val="156082" w:themeColor="accent1"/>
        </w:rPr>
        <w:t>) intellectual property portfolios, technology assets, proprietary methodologies, trade secrets, know-how, and commercialization plans;</w:t>
      </w:r>
    </w:p>
    <w:p w14:paraId="234554BB"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(j) customer information, supplier information, strategic partnership information, commercial contracts, and operational information relevant to investment decisions;</w:t>
      </w:r>
    </w:p>
    <w:p w14:paraId="35D04E6B"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(k) fundraising negotiations, investor communications, board materials, management presentations, investment committee materials, and transaction discussions;</w:t>
      </w:r>
    </w:p>
    <w:p w14:paraId="135D3976"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(l) acquisition plans, expansion initiatives, market entry strategies, product development plans, and future growth opportunities; and</w:t>
      </w:r>
    </w:p>
    <w:p w14:paraId="096E94AF" w14:textId="7400A25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lastRenderedPageBreak/>
        <w:t>(m) any other financial, commercial, operational, legal, technical, strategic, ownership-related, valuation-related, investment-related, fundraising-related, or proprietary information disclosed in connection with the Equity Financing Transaction.</w:t>
      </w:r>
    </w:p>
    <w:p w14:paraId="724AA941" w14:textId="77777777" w:rsidR="00CB67F2" w:rsidRPr="00CB67F2" w:rsidRDefault="00CB67F2" w:rsidP="00CB67F2">
      <w:pPr>
        <w:jc w:val="both"/>
        <w:rPr>
          <w:rFonts w:ascii="Times New Roman" w:hAnsi="Times New Roman" w:cs="Times New Roman"/>
          <w:b/>
          <w:bCs/>
          <w:color w:val="156082" w:themeColor="accent1"/>
        </w:rPr>
      </w:pPr>
      <w:r w:rsidRPr="00CB67F2">
        <w:rPr>
          <w:rFonts w:ascii="Times New Roman" w:hAnsi="Times New Roman" w:cs="Times New Roman"/>
          <w:b/>
          <w:bCs/>
          <w:color w:val="156082" w:themeColor="accent1"/>
        </w:rPr>
        <w:t>E. OPTIONAL INTRODUCED CONTACTS DATASET</w:t>
      </w:r>
    </w:p>
    <w:p w14:paraId="354C1ED8"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Investors</w:t>
      </w:r>
    </w:p>
    <w:p w14:paraId="4448249A"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Angel Investors</w:t>
      </w:r>
    </w:p>
    <w:p w14:paraId="1EB10383"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Venture Capital Funds</w:t>
      </w:r>
    </w:p>
    <w:p w14:paraId="07E06AB8"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Private Equity Funds</w:t>
      </w:r>
    </w:p>
    <w:p w14:paraId="476ADC2D"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Family Offices</w:t>
      </w:r>
    </w:p>
    <w:p w14:paraId="698D8130"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Strategic Investors</w:t>
      </w:r>
    </w:p>
    <w:p w14:paraId="74A1FC48"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Institutional Investors</w:t>
      </w:r>
    </w:p>
    <w:p w14:paraId="05583AF0"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Shareholders</w:t>
      </w:r>
    </w:p>
    <w:p w14:paraId="24D9C881"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Promoters</w:t>
      </w:r>
    </w:p>
    <w:p w14:paraId="51EDC2FF"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Founders</w:t>
      </w:r>
    </w:p>
    <w:p w14:paraId="295E8B14"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Board Members</w:t>
      </w:r>
    </w:p>
    <w:p w14:paraId="2B0A3AF6"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Investment Bankers</w:t>
      </w:r>
    </w:p>
    <w:p w14:paraId="4284A7CA"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Financial Advisors</w:t>
      </w:r>
    </w:p>
    <w:p w14:paraId="7625C19A"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Legal Advisors</w:t>
      </w:r>
    </w:p>
    <w:p w14:paraId="21812D41"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Tax Advisors</w:t>
      </w:r>
    </w:p>
    <w:p w14:paraId="73B1D746"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Auditors</w:t>
      </w:r>
    </w:p>
    <w:p w14:paraId="089C8F45"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Portfolio Companies</w:t>
      </w:r>
    </w:p>
    <w:p w14:paraId="793100D6"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Strategic Partners</w:t>
      </w:r>
    </w:p>
    <w:p w14:paraId="67FA097A"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Government Authorities</w:t>
      </w:r>
    </w:p>
    <w:p w14:paraId="7E4A7159" w14:textId="77777777"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Regulatory Authorities</w:t>
      </w:r>
    </w:p>
    <w:p w14:paraId="446CD11A" w14:textId="2066BFCF" w:rsidR="00CB67F2" w:rsidRPr="00CB67F2" w:rsidRDefault="00CB67F2" w:rsidP="00CB67F2">
      <w:pPr>
        <w:jc w:val="both"/>
        <w:rPr>
          <w:rFonts w:ascii="Times New Roman" w:hAnsi="Times New Roman" w:cs="Times New Roman"/>
          <w:color w:val="156082" w:themeColor="accent1"/>
        </w:rPr>
      </w:pPr>
      <w:r w:rsidRPr="00CB67F2">
        <w:rPr>
          <w:rFonts w:ascii="Times New Roman" w:hAnsi="Times New Roman" w:cs="Times New Roman"/>
          <w:color w:val="156082" w:themeColor="accent1"/>
        </w:rPr>
        <w:t>Commercial Counterparties</w:t>
      </w:r>
    </w:p>
    <w:sectPr w:rsidR="00CB67F2" w:rsidRPr="00CB6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3167D"/>
    <w:multiLevelType w:val="multilevel"/>
    <w:tmpl w:val="DEB8F19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958508A"/>
    <w:multiLevelType w:val="multilevel"/>
    <w:tmpl w:val="0AA845A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4642F74"/>
    <w:multiLevelType w:val="multilevel"/>
    <w:tmpl w:val="7340EB0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5E01371"/>
    <w:multiLevelType w:val="multilevel"/>
    <w:tmpl w:val="277040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1A23486"/>
    <w:multiLevelType w:val="multilevel"/>
    <w:tmpl w:val="7986AB7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B1350CD"/>
    <w:multiLevelType w:val="multilevel"/>
    <w:tmpl w:val="0FA2183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47770250">
    <w:abstractNumId w:val="3"/>
  </w:num>
  <w:num w:numId="2" w16cid:durableId="359934852">
    <w:abstractNumId w:val="5"/>
  </w:num>
  <w:num w:numId="3" w16cid:durableId="1151405391">
    <w:abstractNumId w:val="1"/>
  </w:num>
  <w:num w:numId="4" w16cid:durableId="997655966">
    <w:abstractNumId w:val="4"/>
  </w:num>
  <w:num w:numId="5" w16cid:durableId="1319653081">
    <w:abstractNumId w:val="2"/>
  </w:num>
  <w:num w:numId="6" w16cid:durableId="1060665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F2"/>
    <w:rsid w:val="004A2A2B"/>
    <w:rsid w:val="00CB6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93B04"/>
  <w15:chartTrackingRefBased/>
  <w15:docId w15:val="{25106617-8334-484C-9681-9FE08D308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F2"/>
    <w:rPr>
      <w:rFonts w:eastAsiaTheme="majorEastAsia" w:cstheme="majorBidi"/>
      <w:color w:val="272727" w:themeColor="text1" w:themeTint="D8"/>
    </w:rPr>
  </w:style>
  <w:style w:type="paragraph" w:styleId="Title">
    <w:name w:val="Title"/>
    <w:basedOn w:val="Normal"/>
    <w:next w:val="Normal"/>
    <w:link w:val="TitleChar"/>
    <w:uiPriority w:val="10"/>
    <w:qFormat/>
    <w:rsid w:val="00CB6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F2"/>
    <w:pPr>
      <w:spacing w:before="160"/>
      <w:jc w:val="center"/>
    </w:pPr>
    <w:rPr>
      <w:i/>
      <w:iCs/>
      <w:color w:val="404040" w:themeColor="text1" w:themeTint="BF"/>
    </w:rPr>
  </w:style>
  <w:style w:type="character" w:customStyle="1" w:styleId="QuoteChar">
    <w:name w:val="Quote Char"/>
    <w:basedOn w:val="DefaultParagraphFont"/>
    <w:link w:val="Quote"/>
    <w:uiPriority w:val="29"/>
    <w:rsid w:val="00CB67F2"/>
    <w:rPr>
      <w:i/>
      <w:iCs/>
      <w:color w:val="404040" w:themeColor="text1" w:themeTint="BF"/>
    </w:rPr>
  </w:style>
  <w:style w:type="paragraph" w:styleId="ListParagraph">
    <w:name w:val="List Paragraph"/>
    <w:basedOn w:val="Normal"/>
    <w:uiPriority w:val="34"/>
    <w:qFormat/>
    <w:rsid w:val="00CB67F2"/>
    <w:pPr>
      <w:ind w:left="720"/>
      <w:contextualSpacing/>
    </w:pPr>
  </w:style>
  <w:style w:type="character" w:styleId="IntenseEmphasis">
    <w:name w:val="Intense Emphasis"/>
    <w:basedOn w:val="DefaultParagraphFont"/>
    <w:uiPriority w:val="21"/>
    <w:qFormat/>
    <w:rsid w:val="00CB67F2"/>
    <w:rPr>
      <w:i/>
      <w:iCs/>
      <w:color w:val="0F4761" w:themeColor="accent1" w:themeShade="BF"/>
    </w:rPr>
  </w:style>
  <w:style w:type="paragraph" w:styleId="IntenseQuote">
    <w:name w:val="Intense Quote"/>
    <w:basedOn w:val="Normal"/>
    <w:next w:val="Normal"/>
    <w:link w:val="IntenseQuoteChar"/>
    <w:uiPriority w:val="30"/>
    <w:qFormat/>
    <w:rsid w:val="00CB6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F2"/>
    <w:rPr>
      <w:i/>
      <w:iCs/>
      <w:color w:val="0F4761" w:themeColor="accent1" w:themeShade="BF"/>
    </w:rPr>
  </w:style>
  <w:style w:type="character" w:styleId="IntenseReference">
    <w:name w:val="Intense Reference"/>
    <w:basedOn w:val="DefaultParagraphFont"/>
    <w:uiPriority w:val="32"/>
    <w:qFormat/>
    <w:rsid w:val="00CB6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778</Words>
  <Characters>4435</Characters>
  <Application>Microsoft Office Word</Application>
  <DocSecurity>0</DocSecurity>
  <Lines>36</Lines>
  <Paragraphs>10</Paragraphs>
  <ScaleCrop>false</ScaleCrop>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2026-06-09T18:02:00Z</dcterms:created>
  <dcterms:modified xsi:type="dcterms:W3CDTF">2026-06-09T18:04:00Z</dcterms:modified>
</cp:coreProperties>
</file>