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09F2" w14:textId="77777777" w:rsidR="00DC2976" w:rsidRPr="00DC2976" w:rsidRDefault="00DC2976" w:rsidP="00DC2976">
      <w:pPr>
        <w:jc w:val="center"/>
        <w:rPr>
          <w:rFonts w:ascii="Times New Roman" w:hAnsi="Times New Roman" w:cs="Times New Roman"/>
          <w:b/>
          <w:bCs/>
          <w:color w:val="156082" w:themeColor="accent1"/>
          <w:u w:val="single"/>
        </w:rPr>
      </w:pPr>
      <w:r w:rsidRPr="00DC2976">
        <w:rPr>
          <w:rFonts w:ascii="Times New Roman" w:hAnsi="Times New Roman" w:cs="Times New Roman"/>
          <w:b/>
          <w:bCs/>
          <w:color w:val="156082" w:themeColor="accent1"/>
          <w:u w:val="single"/>
        </w:rPr>
        <w:t>GC-29 – ACQUISITION DISCUSSIONS</w:t>
      </w:r>
    </w:p>
    <w:p w14:paraId="389B3DBD" w14:textId="77777777" w:rsidR="00DC2976" w:rsidRPr="00DC2976" w:rsidRDefault="00DC2976" w:rsidP="00DC2976">
      <w:pPr>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A. PURPOSE DEFINITION</w:t>
      </w:r>
    </w:p>
    <w:p w14:paraId="26DC3D6C" w14:textId="31720DB3"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"Purpose" means the evaluation, discussion, negotiation, structuring, assessment, or potential consummation of an acquisition, share purchase, asset purchase, business acquisition, strategic acquisition, investment acquisition, corporate acquisition, or other transaction involving the acquisition of ownership, control, assets, operations, or business interests.</w:t>
      </w:r>
    </w:p>
    <w:p w14:paraId="6A2D2D33" w14:textId="77777777" w:rsidR="00DC2976" w:rsidRPr="00DC2976" w:rsidRDefault="00DC2976" w:rsidP="00DC2976">
      <w:pPr>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B. RECITAL VARIANT</w:t>
      </w:r>
    </w:p>
    <w:p w14:paraId="622BFCFB" w14:textId="77777777" w:rsidR="00DC2976" w:rsidRPr="00DC2976" w:rsidRDefault="00DC2976" w:rsidP="00DC2976">
      <w:pPr>
        <w:jc w:val="both"/>
        <w:rPr>
          <w:rFonts w:ascii="Times New Roman" w:hAnsi="Times New Roman" w:cs="Times New Roman"/>
          <w:color w:val="156082" w:themeColor="accent1"/>
        </w:rPr>
      </w:pPr>
      <w:proofErr w:type="gramStart"/>
      <w:r w:rsidRPr="00DC2976">
        <w:rPr>
          <w:rFonts w:ascii="Times New Roman" w:hAnsi="Times New Roman" w:cs="Times New Roman"/>
          <w:color w:val="156082" w:themeColor="accent1"/>
        </w:rPr>
        <w:t>WHEREAS,</w:t>
      </w:r>
      <w:proofErr w:type="gramEnd"/>
      <w:r w:rsidRPr="00DC2976">
        <w:rPr>
          <w:rFonts w:ascii="Times New Roman" w:hAnsi="Times New Roman" w:cs="Times New Roman"/>
          <w:color w:val="156082" w:themeColor="accent1"/>
        </w:rPr>
        <w:t xml:space="preserve"> the Parties desire to evaluate and discuss a potential acquisition transaction, share purchase transaction, asset acquisition, strategic acquisition, business acquisition, or other corporate transaction;</w:t>
      </w:r>
    </w:p>
    <w:p w14:paraId="4C9501E6"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WHEREAS, in connection with such discussions, evaluations, negotiations, and transaction assessments, the Parties may disclose and exchange confidential commercial, financial, operational, legal, tax, strategic, technical, and proprietary information;</w:t>
      </w:r>
    </w:p>
    <w:p w14:paraId="63692639" w14:textId="1170936C" w:rsidR="00DC2976" w:rsidRPr="00DC2976" w:rsidRDefault="00DC2976" w:rsidP="00DC2976">
      <w:pPr>
        <w:jc w:val="both"/>
        <w:rPr>
          <w:rFonts w:ascii="Times New Roman" w:hAnsi="Times New Roman" w:cs="Times New Roman"/>
          <w:color w:val="156082" w:themeColor="accent1"/>
        </w:rPr>
      </w:pPr>
      <w:proofErr w:type="gramStart"/>
      <w:r w:rsidRPr="00DC2976">
        <w:rPr>
          <w:rFonts w:ascii="Times New Roman" w:hAnsi="Times New Roman" w:cs="Times New Roman"/>
          <w:color w:val="156082" w:themeColor="accent1"/>
        </w:rPr>
        <w:t>WHEREAS,</w:t>
      </w:r>
      <w:proofErr w:type="gramEnd"/>
      <w:r w:rsidRPr="00DC2976">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3EC47AD" w14:textId="77777777" w:rsidR="00DC2976" w:rsidRPr="00DC2976" w:rsidRDefault="00DC2976" w:rsidP="00DC2976">
      <w:pPr>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C. ADDITIONAL DEFINITIONS</w:t>
      </w:r>
    </w:p>
    <w:p w14:paraId="2A869210" w14:textId="77777777" w:rsidR="00DC2976" w:rsidRPr="00DC2976" w:rsidRDefault="00DC2976" w:rsidP="00DC2976">
      <w:pPr>
        <w:numPr>
          <w:ilvl w:val="0"/>
          <w:numId w:val="1"/>
        </w:numPr>
        <w:tabs>
          <w:tab w:val="clear" w:pos="360"/>
          <w:tab w:val="num" w:pos="720"/>
        </w:tabs>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Acquisition Transaction</w:t>
      </w:r>
    </w:p>
    <w:p w14:paraId="079E3DF7"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"Acquisition Transaction" means any actual, proposed, contemplated, or potential acquisition of shares, securities, assets, business operations, ownership interests, subsidiaries, divisions, projects, or other business interests.</w:t>
      </w:r>
    </w:p>
    <w:p w14:paraId="5CBBF183" w14:textId="77777777" w:rsidR="00DC2976" w:rsidRPr="00DC2976" w:rsidRDefault="00DC2976" w:rsidP="00DC2976">
      <w:pPr>
        <w:numPr>
          <w:ilvl w:val="0"/>
          <w:numId w:val="2"/>
        </w:numPr>
        <w:tabs>
          <w:tab w:val="clear" w:pos="360"/>
          <w:tab w:val="num" w:pos="720"/>
        </w:tabs>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Target Business</w:t>
      </w:r>
    </w:p>
    <w:p w14:paraId="312D250D"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"Target Business" means the company, business, division, subsidiary, project, undertaking, operation, assets, securities, or ownership interests that are the subject of the contemplated Acquisition Transaction.</w:t>
      </w:r>
    </w:p>
    <w:p w14:paraId="2BF3443B" w14:textId="77777777" w:rsidR="00DC2976" w:rsidRPr="00DC2976" w:rsidRDefault="00DC2976" w:rsidP="00DC2976">
      <w:pPr>
        <w:numPr>
          <w:ilvl w:val="0"/>
          <w:numId w:val="3"/>
        </w:numPr>
        <w:tabs>
          <w:tab w:val="clear" w:pos="360"/>
          <w:tab w:val="num" w:pos="720"/>
        </w:tabs>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Acquisition Information</w:t>
      </w:r>
    </w:p>
    <w:p w14:paraId="2E8D637A"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"Acquisition Information" means information relating to acquisition structures, transaction structures, valuation analyses, acquisition strategies, transaction terms, negotiation positions, and acquisition opportunities.</w:t>
      </w:r>
    </w:p>
    <w:p w14:paraId="012E0336" w14:textId="77777777" w:rsidR="00DC2976" w:rsidRPr="00DC2976" w:rsidRDefault="00DC2976" w:rsidP="00DC2976">
      <w:pPr>
        <w:numPr>
          <w:ilvl w:val="0"/>
          <w:numId w:val="4"/>
        </w:numPr>
        <w:tabs>
          <w:tab w:val="clear" w:pos="360"/>
          <w:tab w:val="num" w:pos="720"/>
        </w:tabs>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Transaction Information</w:t>
      </w:r>
    </w:p>
    <w:p w14:paraId="5D3DD175"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"Transaction Information" means information relating to the contemplated Acquisition Transaction, including transaction structures, commercial terms, strategic objectives, valuation assumptions, and negotiation materials.</w:t>
      </w:r>
    </w:p>
    <w:p w14:paraId="2799611B" w14:textId="77777777" w:rsidR="00DC2976" w:rsidRPr="00DC2976" w:rsidRDefault="00DC2976" w:rsidP="00DC2976">
      <w:pPr>
        <w:numPr>
          <w:ilvl w:val="0"/>
          <w:numId w:val="5"/>
        </w:numPr>
        <w:tabs>
          <w:tab w:val="clear" w:pos="360"/>
          <w:tab w:val="num" w:pos="720"/>
        </w:tabs>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Valuation Information</w:t>
      </w:r>
    </w:p>
    <w:p w14:paraId="422F0174"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lastRenderedPageBreak/>
        <w:t>"Valuation Information" means valuation reports, valuation methodologies, pricing assumptions, financial models, business assessments, and analyses relating to the value of the Target Business.</w:t>
      </w:r>
    </w:p>
    <w:p w14:paraId="2057A545" w14:textId="77777777" w:rsidR="00DC2976" w:rsidRPr="00DC2976" w:rsidRDefault="00DC2976" w:rsidP="00DC2976">
      <w:pPr>
        <w:numPr>
          <w:ilvl w:val="0"/>
          <w:numId w:val="6"/>
        </w:numPr>
        <w:tabs>
          <w:tab w:val="clear" w:pos="360"/>
          <w:tab w:val="num" w:pos="720"/>
        </w:tabs>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Strategic Assessment Information</w:t>
      </w:r>
    </w:p>
    <w:p w14:paraId="15EDCF05" w14:textId="48A910CE"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"Strategic Assessment Information" means information relating to business synergies, integration opportunities, operational efficiencies, growth opportunities, strategic objectives, and acquisition rationale.</w:t>
      </w:r>
    </w:p>
    <w:p w14:paraId="5F2BB1C1" w14:textId="77777777" w:rsidR="00DC2976" w:rsidRPr="00DC2976" w:rsidRDefault="00DC2976" w:rsidP="00DC2976">
      <w:pPr>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t>D. CONFIDENTIAL INFORMATION EXPANSION</w:t>
      </w:r>
    </w:p>
    <w:p w14:paraId="2A4F2922"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Without limitation, Confidential Information includes:</w:t>
      </w:r>
    </w:p>
    <w:p w14:paraId="39E9C608"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(a) ownership structures, shareholding information, capitalization information, corporate structures, subsidiary information, and organizational information;</w:t>
      </w:r>
    </w:p>
    <w:p w14:paraId="585F0216"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(b) acquisition strategies, acquisition plans, transaction structures, acquisition rationales, integration plans, and strategic assessments;</w:t>
      </w:r>
    </w:p>
    <w:p w14:paraId="4FDFF662"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(c) financial statements, management accounts, budgets, forecasts, valuation reports, financial models, and financial projections;</w:t>
      </w:r>
    </w:p>
    <w:p w14:paraId="5DFBF91F"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(d) business plans, growth plans, expansion strategies, commercial opportunities, and future business initiatives;</w:t>
      </w:r>
    </w:p>
    <w:p w14:paraId="26910D34"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(e) customer information, supplier information, strategic partnership information, commercial contracts, and key business relationships;</w:t>
      </w:r>
    </w:p>
    <w:p w14:paraId="25B44FCB"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(f) intellectual property portfolios, proprietary technologies, trade secrets, know-how, software assets, and licensing arrangements;</w:t>
      </w:r>
    </w:p>
    <w:p w14:paraId="1165F8AA"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(g) litigation information, dispute information, investigation information, contingent liabilities, and legal risk assessments;</w:t>
      </w:r>
    </w:p>
    <w:p w14:paraId="1001440A"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(h) tax information, tax filings, tax strategies, tax assessments, and tax compliance information;</w:t>
      </w:r>
    </w:p>
    <w:p w14:paraId="1B9BE28A"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w:t>
      </w:r>
      <w:proofErr w:type="spellStart"/>
      <w:r w:rsidRPr="00DC2976">
        <w:rPr>
          <w:rFonts w:ascii="Times New Roman" w:hAnsi="Times New Roman" w:cs="Times New Roman"/>
          <w:color w:val="156082" w:themeColor="accent1"/>
        </w:rPr>
        <w:t>i</w:t>
      </w:r>
      <w:proofErr w:type="spellEnd"/>
      <w:r w:rsidRPr="00DC2976">
        <w:rPr>
          <w:rFonts w:ascii="Times New Roman" w:hAnsi="Times New Roman" w:cs="Times New Roman"/>
          <w:color w:val="156082" w:themeColor="accent1"/>
        </w:rPr>
        <w:t>) management information, employee information, compensation structures, retention arrangements, and organizational assessments;</w:t>
      </w:r>
    </w:p>
    <w:p w14:paraId="464E96BC"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(j) valuation analyses, pricing assumptions, negotiation positions, transaction models, and acquisition assessments;</w:t>
      </w:r>
    </w:p>
    <w:p w14:paraId="4FF97287"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(k) teasers, information memoranda, management presentations, transaction summaries, acquisition proposals, and transaction documentation;</w:t>
      </w:r>
    </w:p>
    <w:p w14:paraId="2FAB82C8"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(l) strategic analyses, synergy assessments, integration plans, business combination analyses, and operational evaluations; and</w:t>
      </w:r>
    </w:p>
    <w:p w14:paraId="5B1388A2" w14:textId="47028E35"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(m) any other commercial, financial, operational, legal, tax, strategic, technical, ownership-related, acquisition-related, valuation-related, or proprietary information disclosed in connection with the Acquisition Transaction.</w:t>
      </w:r>
    </w:p>
    <w:p w14:paraId="176D9090" w14:textId="77777777" w:rsidR="00DC2976" w:rsidRPr="00DC2976" w:rsidRDefault="00DC2976" w:rsidP="00DC2976">
      <w:pPr>
        <w:jc w:val="both"/>
        <w:rPr>
          <w:rFonts w:ascii="Times New Roman" w:hAnsi="Times New Roman" w:cs="Times New Roman"/>
          <w:b/>
          <w:bCs/>
          <w:color w:val="156082" w:themeColor="accent1"/>
        </w:rPr>
      </w:pPr>
      <w:r w:rsidRPr="00DC2976">
        <w:rPr>
          <w:rFonts w:ascii="Times New Roman" w:hAnsi="Times New Roman" w:cs="Times New Roman"/>
          <w:b/>
          <w:bCs/>
          <w:color w:val="156082" w:themeColor="accent1"/>
        </w:rPr>
        <w:lastRenderedPageBreak/>
        <w:t>E. OPTIONAL INTRODUCED CONTACTS DATASET</w:t>
      </w:r>
    </w:p>
    <w:p w14:paraId="614F9264"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Target Companies</w:t>
      </w:r>
    </w:p>
    <w:p w14:paraId="44AFFB5E"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Promoters</w:t>
      </w:r>
    </w:p>
    <w:p w14:paraId="2E4B1459"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Founders</w:t>
      </w:r>
    </w:p>
    <w:p w14:paraId="115873F3"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Shareholders</w:t>
      </w:r>
    </w:p>
    <w:p w14:paraId="0964EE0C"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Directors</w:t>
      </w:r>
    </w:p>
    <w:p w14:paraId="000D01C1"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Key Management Personnel</w:t>
      </w:r>
    </w:p>
    <w:p w14:paraId="0E08EFDB"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Investors</w:t>
      </w:r>
    </w:p>
    <w:p w14:paraId="07E65485"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Investment Bankers</w:t>
      </w:r>
    </w:p>
    <w:p w14:paraId="2A4516AD"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Financial Advisors</w:t>
      </w:r>
    </w:p>
    <w:p w14:paraId="3783C083"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Legal Advisors</w:t>
      </w:r>
    </w:p>
    <w:p w14:paraId="547D24CD"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Tax Advisors</w:t>
      </w:r>
    </w:p>
    <w:p w14:paraId="5FF9A3B0"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Auditors</w:t>
      </w:r>
    </w:p>
    <w:p w14:paraId="07098144"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Customers</w:t>
      </w:r>
    </w:p>
    <w:p w14:paraId="12B0B784"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Suppliers</w:t>
      </w:r>
    </w:p>
    <w:p w14:paraId="207D0411"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Strategic Partners</w:t>
      </w:r>
    </w:p>
    <w:p w14:paraId="7711D418"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Lenders</w:t>
      </w:r>
    </w:p>
    <w:p w14:paraId="02028759"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Financial Institutions</w:t>
      </w:r>
    </w:p>
    <w:p w14:paraId="360F00BA"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Government Authorities</w:t>
      </w:r>
    </w:p>
    <w:p w14:paraId="789BBD88"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Regulatory Authorities</w:t>
      </w:r>
    </w:p>
    <w:p w14:paraId="09C2F2B6"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Industry Experts</w:t>
      </w:r>
    </w:p>
    <w:p w14:paraId="16E5DD9A" w14:textId="77777777" w:rsidR="00DC2976" w:rsidRPr="00DC2976" w:rsidRDefault="00DC2976" w:rsidP="00DC2976">
      <w:pPr>
        <w:jc w:val="both"/>
        <w:rPr>
          <w:rFonts w:ascii="Times New Roman" w:hAnsi="Times New Roman" w:cs="Times New Roman"/>
          <w:color w:val="156082" w:themeColor="accent1"/>
        </w:rPr>
      </w:pPr>
      <w:r w:rsidRPr="00DC2976">
        <w:rPr>
          <w:rFonts w:ascii="Times New Roman" w:hAnsi="Times New Roman" w:cs="Times New Roman"/>
          <w:color w:val="156082" w:themeColor="accent1"/>
        </w:rPr>
        <w:t>Commercial Counterparties</w:t>
      </w:r>
    </w:p>
    <w:p w14:paraId="21D12B53" w14:textId="77777777" w:rsidR="00DC2976" w:rsidRPr="00DC2976" w:rsidRDefault="00DC2976" w:rsidP="00DC2976">
      <w:pPr>
        <w:jc w:val="both"/>
        <w:rPr>
          <w:rFonts w:ascii="Times New Roman" w:hAnsi="Times New Roman" w:cs="Times New Roman"/>
          <w:color w:val="156082" w:themeColor="accent1"/>
        </w:rPr>
      </w:pPr>
    </w:p>
    <w:sectPr w:rsidR="00DC2976" w:rsidRPr="00DC2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D72"/>
    <w:multiLevelType w:val="multilevel"/>
    <w:tmpl w:val="1D22ED9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7D2367"/>
    <w:multiLevelType w:val="multilevel"/>
    <w:tmpl w:val="9FB8005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D4E7E1B"/>
    <w:multiLevelType w:val="multilevel"/>
    <w:tmpl w:val="4096371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78B1753"/>
    <w:multiLevelType w:val="multilevel"/>
    <w:tmpl w:val="E508E4C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1BF355E"/>
    <w:multiLevelType w:val="multilevel"/>
    <w:tmpl w:val="34949E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FD503E9"/>
    <w:multiLevelType w:val="multilevel"/>
    <w:tmpl w:val="50E0F51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13252734">
    <w:abstractNumId w:val="4"/>
  </w:num>
  <w:num w:numId="2" w16cid:durableId="785276470">
    <w:abstractNumId w:val="1"/>
  </w:num>
  <w:num w:numId="3" w16cid:durableId="1078941645">
    <w:abstractNumId w:val="0"/>
  </w:num>
  <w:num w:numId="4" w16cid:durableId="870335538">
    <w:abstractNumId w:val="2"/>
  </w:num>
  <w:num w:numId="5" w16cid:durableId="201938186">
    <w:abstractNumId w:val="5"/>
  </w:num>
  <w:num w:numId="6" w16cid:durableId="1667706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76"/>
    <w:rsid w:val="004A2A2B"/>
    <w:rsid w:val="00DC2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3097C"/>
  <w15:chartTrackingRefBased/>
  <w15:docId w15:val="{6EE854C6-283C-4C30-BF1A-D2529AAB8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976"/>
    <w:rPr>
      <w:rFonts w:eastAsiaTheme="majorEastAsia" w:cstheme="majorBidi"/>
      <w:color w:val="272727" w:themeColor="text1" w:themeTint="D8"/>
    </w:rPr>
  </w:style>
  <w:style w:type="paragraph" w:styleId="Title">
    <w:name w:val="Title"/>
    <w:basedOn w:val="Normal"/>
    <w:next w:val="Normal"/>
    <w:link w:val="TitleChar"/>
    <w:uiPriority w:val="10"/>
    <w:qFormat/>
    <w:rsid w:val="00DC2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976"/>
    <w:pPr>
      <w:spacing w:before="160"/>
      <w:jc w:val="center"/>
    </w:pPr>
    <w:rPr>
      <w:i/>
      <w:iCs/>
      <w:color w:val="404040" w:themeColor="text1" w:themeTint="BF"/>
    </w:rPr>
  </w:style>
  <w:style w:type="character" w:customStyle="1" w:styleId="QuoteChar">
    <w:name w:val="Quote Char"/>
    <w:basedOn w:val="DefaultParagraphFont"/>
    <w:link w:val="Quote"/>
    <w:uiPriority w:val="29"/>
    <w:rsid w:val="00DC2976"/>
    <w:rPr>
      <w:i/>
      <w:iCs/>
      <w:color w:val="404040" w:themeColor="text1" w:themeTint="BF"/>
    </w:rPr>
  </w:style>
  <w:style w:type="paragraph" w:styleId="ListParagraph">
    <w:name w:val="List Paragraph"/>
    <w:basedOn w:val="Normal"/>
    <w:uiPriority w:val="34"/>
    <w:qFormat/>
    <w:rsid w:val="00DC2976"/>
    <w:pPr>
      <w:ind w:left="720"/>
      <w:contextualSpacing/>
    </w:pPr>
  </w:style>
  <w:style w:type="character" w:styleId="IntenseEmphasis">
    <w:name w:val="Intense Emphasis"/>
    <w:basedOn w:val="DefaultParagraphFont"/>
    <w:uiPriority w:val="21"/>
    <w:qFormat/>
    <w:rsid w:val="00DC2976"/>
    <w:rPr>
      <w:i/>
      <w:iCs/>
      <w:color w:val="0F4761" w:themeColor="accent1" w:themeShade="BF"/>
    </w:rPr>
  </w:style>
  <w:style w:type="paragraph" w:styleId="IntenseQuote">
    <w:name w:val="Intense Quote"/>
    <w:basedOn w:val="Normal"/>
    <w:next w:val="Normal"/>
    <w:link w:val="IntenseQuoteChar"/>
    <w:uiPriority w:val="30"/>
    <w:qFormat/>
    <w:rsid w:val="00DC2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976"/>
    <w:rPr>
      <w:i/>
      <w:iCs/>
      <w:color w:val="0F4761" w:themeColor="accent1" w:themeShade="BF"/>
    </w:rPr>
  </w:style>
  <w:style w:type="character" w:styleId="IntenseReference">
    <w:name w:val="Intense Reference"/>
    <w:basedOn w:val="DefaultParagraphFont"/>
    <w:uiPriority w:val="32"/>
    <w:qFormat/>
    <w:rsid w:val="00DC2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2026-06-09T18:04:00Z</dcterms:created>
  <dcterms:modified xsi:type="dcterms:W3CDTF">2026-06-09T18:06:00Z</dcterms:modified>
</cp:coreProperties>
</file>