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9E14D" w14:textId="77777777" w:rsidR="00A57F0C" w:rsidRPr="00A57F0C" w:rsidRDefault="00A57F0C" w:rsidP="00A57F0C">
      <w:pPr>
        <w:jc w:val="center"/>
        <w:rPr>
          <w:rFonts w:ascii="Times New Roman" w:hAnsi="Times New Roman" w:cs="Times New Roman"/>
          <w:b/>
          <w:bCs/>
          <w:color w:val="156082" w:themeColor="accent1"/>
          <w:u w:val="single"/>
        </w:rPr>
      </w:pPr>
      <w:r w:rsidRPr="00A57F0C">
        <w:rPr>
          <w:rFonts w:ascii="Times New Roman" w:hAnsi="Times New Roman" w:cs="Times New Roman"/>
          <w:b/>
          <w:bCs/>
          <w:color w:val="156082" w:themeColor="accent1"/>
          <w:u w:val="single"/>
        </w:rPr>
        <w:t>GC-30 – MERGER DISCUSSIONS</w:t>
      </w:r>
    </w:p>
    <w:p w14:paraId="71452874" w14:textId="77777777" w:rsidR="00A57F0C" w:rsidRPr="00A57F0C" w:rsidRDefault="00A57F0C" w:rsidP="00A57F0C">
      <w:pPr>
        <w:jc w:val="both"/>
        <w:rPr>
          <w:rFonts w:ascii="Times New Roman" w:hAnsi="Times New Roman" w:cs="Times New Roman"/>
          <w:b/>
          <w:bCs/>
          <w:color w:val="156082" w:themeColor="accent1"/>
        </w:rPr>
      </w:pPr>
      <w:r w:rsidRPr="00A57F0C">
        <w:rPr>
          <w:rFonts w:ascii="Times New Roman" w:hAnsi="Times New Roman" w:cs="Times New Roman"/>
          <w:b/>
          <w:bCs/>
          <w:color w:val="156082" w:themeColor="accent1"/>
        </w:rPr>
        <w:t>A. PURPOSE DEFINITION</w:t>
      </w:r>
    </w:p>
    <w:p w14:paraId="49931109" w14:textId="4CE7329D"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"Purpose" means the evaluation, discussion, negotiation, structuring, assessment, planning, implementation, or potential consummation of a merger, amalgamation, consolidation, business combination, corporate reorganization, strategic integration, or other transaction involving the combination of businesses, operations, assets, entities, or ownership interests between the Parties.</w:t>
      </w:r>
    </w:p>
    <w:p w14:paraId="2A015459" w14:textId="77777777" w:rsidR="00A57F0C" w:rsidRPr="00A57F0C" w:rsidRDefault="00A57F0C" w:rsidP="00A57F0C">
      <w:pPr>
        <w:jc w:val="both"/>
        <w:rPr>
          <w:rFonts w:ascii="Times New Roman" w:hAnsi="Times New Roman" w:cs="Times New Roman"/>
          <w:b/>
          <w:bCs/>
          <w:color w:val="156082" w:themeColor="accent1"/>
        </w:rPr>
      </w:pPr>
      <w:r w:rsidRPr="00A57F0C">
        <w:rPr>
          <w:rFonts w:ascii="Times New Roman" w:hAnsi="Times New Roman" w:cs="Times New Roman"/>
          <w:b/>
          <w:bCs/>
          <w:color w:val="156082" w:themeColor="accent1"/>
        </w:rPr>
        <w:t>B. RECITAL VARIANT</w:t>
      </w:r>
    </w:p>
    <w:p w14:paraId="100D9827" w14:textId="77777777" w:rsidR="00A57F0C" w:rsidRPr="00A57F0C" w:rsidRDefault="00A57F0C" w:rsidP="00A57F0C">
      <w:pPr>
        <w:jc w:val="both"/>
        <w:rPr>
          <w:rFonts w:ascii="Times New Roman" w:hAnsi="Times New Roman" w:cs="Times New Roman"/>
          <w:color w:val="156082" w:themeColor="accent1"/>
        </w:rPr>
      </w:pPr>
      <w:proofErr w:type="gramStart"/>
      <w:r w:rsidRPr="00A57F0C">
        <w:rPr>
          <w:rFonts w:ascii="Times New Roman" w:hAnsi="Times New Roman" w:cs="Times New Roman"/>
          <w:color w:val="156082" w:themeColor="accent1"/>
        </w:rPr>
        <w:t>WHEREAS,</w:t>
      </w:r>
      <w:proofErr w:type="gramEnd"/>
      <w:r w:rsidRPr="00A57F0C">
        <w:rPr>
          <w:rFonts w:ascii="Times New Roman" w:hAnsi="Times New Roman" w:cs="Times New Roman"/>
          <w:color w:val="156082" w:themeColor="accent1"/>
        </w:rPr>
        <w:t xml:space="preserve"> the Parties desire to evaluate and discuss a potential merger, amalgamation, consolidation, business combination, strategic integration, corporate reorganization, or other combination transaction;</w:t>
      </w:r>
    </w:p>
    <w:p w14:paraId="7492BE05"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WHEREAS, in connection with such discussions, evaluations, negotiations, and transaction planning activities, the Parties may disclose and exchange confidential commercial, financial, operational, legal, tax, strategic, technical, integration-related, and proprietary information;</w:t>
      </w:r>
    </w:p>
    <w:p w14:paraId="19FAF4B4" w14:textId="3DEFFB38" w:rsidR="00A57F0C" w:rsidRPr="00A57F0C" w:rsidRDefault="00A57F0C" w:rsidP="00A57F0C">
      <w:pPr>
        <w:jc w:val="both"/>
        <w:rPr>
          <w:rFonts w:ascii="Times New Roman" w:hAnsi="Times New Roman" w:cs="Times New Roman"/>
          <w:color w:val="156082" w:themeColor="accent1"/>
        </w:rPr>
      </w:pPr>
      <w:proofErr w:type="gramStart"/>
      <w:r w:rsidRPr="00A57F0C">
        <w:rPr>
          <w:rFonts w:ascii="Times New Roman" w:hAnsi="Times New Roman" w:cs="Times New Roman"/>
          <w:color w:val="156082" w:themeColor="accent1"/>
        </w:rPr>
        <w:t>WHEREAS,</w:t>
      </w:r>
      <w:proofErr w:type="gramEnd"/>
      <w:r w:rsidRPr="00A57F0C">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4B8A567C" w14:textId="77777777" w:rsidR="00A57F0C" w:rsidRPr="00A57F0C" w:rsidRDefault="00A57F0C" w:rsidP="00A57F0C">
      <w:pPr>
        <w:jc w:val="both"/>
        <w:rPr>
          <w:rFonts w:ascii="Times New Roman" w:hAnsi="Times New Roman" w:cs="Times New Roman"/>
          <w:b/>
          <w:bCs/>
          <w:color w:val="156082" w:themeColor="accent1"/>
        </w:rPr>
      </w:pPr>
      <w:r w:rsidRPr="00A57F0C">
        <w:rPr>
          <w:rFonts w:ascii="Times New Roman" w:hAnsi="Times New Roman" w:cs="Times New Roman"/>
          <w:b/>
          <w:bCs/>
          <w:color w:val="156082" w:themeColor="accent1"/>
        </w:rPr>
        <w:t>C. ADDITIONAL DEFINITIONS</w:t>
      </w:r>
    </w:p>
    <w:p w14:paraId="1524BCA0" w14:textId="77777777" w:rsidR="00A57F0C" w:rsidRPr="00A57F0C" w:rsidRDefault="00A57F0C" w:rsidP="00A57F0C">
      <w:pPr>
        <w:numPr>
          <w:ilvl w:val="0"/>
          <w:numId w:val="1"/>
        </w:numPr>
        <w:tabs>
          <w:tab w:val="clear" w:pos="360"/>
          <w:tab w:val="num" w:pos="720"/>
        </w:tabs>
        <w:jc w:val="both"/>
        <w:rPr>
          <w:rFonts w:ascii="Times New Roman" w:hAnsi="Times New Roman" w:cs="Times New Roman"/>
          <w:b/>
          <w:bCs/>
          <w:color w:val="156082" w:themeColor="accent1"/>
        </w:rPr>
      </w:pPr>
      <w:r w:rsidRPr="00A57F0C">
        <w:rPr>
          <w:rFonts w:ascii="Times New Roman" w:hAnsi="Times New Roman" w:cs="Times New Roman"/>
          <w:b/>
          <w:bCs/>
          <w:color w:val="156082" w:themeColor="accent1"/>
        </w:rPr>
        <w:t>Merger Transaction</w:t>
      </w:r>
    </w:p>
    <w:p w14:paraId="3D64F6FB"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"Merger Transaction" means any actual, proposed, contemplated, or potential merger, amalgamation, consolidation, business combination, corporate reorganization, integration transaction, or similar transaction involving the combination of businesses, operations, assets, or ownership interests.</w:t>
      </w:r>
    </w:p>
    <w:p w14:paraId="6563BF24" w14:textId="77777777" w:rsidR="00A57F0C" w:rsidRPr="00A57F0C" w:rsidRDefault="00A57F0C" w:rsidP="00A57F0C">
      <w:pPr>
        <w:numPr>
          <w:ilvl w:val="0"/>
          <w:numId w:val="2"/>
        </w:numPr>
        <w:tabs>
          <w:tab w:val="clear" w:pos="360"/>
          <w:tab w:val="num" w:pos="720"/>
        </w:tabs>
        <w:jc w:val="both"/>
        <w:rPr>
          <w:rFonts w:ascii="Times New Roman" w:hAnsi="Times New Roman" w:cs="Times New Roman"/>
          <w:b/>
          <w:bCs/>
          <w:color w:val="156082" w:themeColor="accent1"/>
        </w:rPr>
      </w:pPr>
      <w:r w:rsidRPr="00A57F0C">
        <w:rPr>
          <w:rFonts w:ascii="Times New Roman" w:hAnsi="Times New Roman" w:cs="Times New Roman"/>
          <w:b/>
          <w:bCs/>
          <w:color w:val="156082" w:themeColor="accent1"/>
        </w:rPr>
        <w:t>Combined Business</w:t>
      </w:r>
    </w:p>
    <w:p w14:paraId="3EA8BE9D"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"Combined Business" means the business, operations, assets, personnel, intellectual property, systems, and activities expected to result from or be integrated pursuant to the contemplated Merger Transaction.</w:t>
      </w:r>
    </w:p>
    <w:p w14:paraId="6AA57482" w14:textId="77777777" w:rsidR="00A57F0C" w:rsidRPr="00A57F0C" w:rsidRDefault="00A57F0C" w:rsidP="00A57F0C">
      <w:pPr>
        <w:numPr>
          <w:ilvl w:val="0"/>
          <w:numId w:val="3"/>
        </w:numPr>
        <w:tabs>
          <w:tab w:val="clear" w:pos="360"/>
          <w:tab w:val="num" w:pos="720"/>
        </w:tabs>
        <w:jc w:val="both"/>
        <w:rPr>
          <w:rFonts w:ascii="Times New Roman" w:hAnsi="Times New Roman" w:cs="Times New Roman"/>
          <w:b/>
          <w:bCs/>
          <w:color w:val="156082" w:themeColor="accent1"/>
        </w:rPr>
      </w:pPr>
      <w:r w:rsidRPr="00A57F0C">
        <w:rPr>
          <w:rFonts w:ascii="Times New Roman" w:hAnsi="Times New Roman" w:cs="Times New Roman"/>
          <w:b/>
          <w:bCs/>
          <w:color w:val="156082" w:themeColor="accent1"/>
        </w:rPr>
        <w:t>Merger Information</w:t>
      </w:r>
    </w:p>
    <w:p w14:paraId="68739982"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"Merger Information" means information relating to merger structures, transaction structures, strategic objectives, integration plans, valuation analyses, governance arrangements, and transaction terms.</w:t>
      </w:r>
    </w:p>
    <w:p w14:paraId="35D4FADA" w14:textId="77777777" w:rsidR="00A57F0C" w:rsidRPr="00A57F0C" w:rsidRDefault="00A57F0C" w:rsidP="00A57F0C">
      <w:pPr>
        <w:numPr>
          <w:ilvl w:val="0"/>
          <w:numId w:val="4"/>
        </w:numPr>
        <w:tabs>
          <w:tab w:val="clear" w:pos="360"/>
          <w:tab w:val="num" w:pos="720"/>
        </w:tabs>
        <w:jc w:val="both"/>
        <w:rPr>
          <w:rFonts w:ascii="Times New Roman" w:hAnsi="Times New Roman" w:cs="Times New Roman"/>
          <w:b/>
          <w:bCs/>
          <w:color w:val="156082" w:themeColor="accent1"/>
        </w:rPr>
      </w:pPr>
      <w:r w:rsidRPr="00A57F0C">
        <w:rPr>
          <w:rFonts w:ascii="Times New Roman" w:hAnsi="Times New Roman" w:cs="Times New Roman"/>
          <w:b/>
          <w:bCs/>
          <w:color w:val="156082" w:themeColor="accent1"/>
        </w:rPr>
        <w:t>Integration Information</w:t>
      </w:r>
    </w:p>
    <w:p w14:paraId="46A842E1"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"Integration Information" means information relating to operational integration, business integration, organizational integration, technology integration, personnel integration, system integration, and post-closing implementation activities.</w:t>
      </w:r>
    </w:p>
    <w:p w14:paraId="401A88BB" w14:textId="77777777" w:rsidR="00A57F0C" w:rsidRPr="00A57F0C" w:rsidRDefault="00A57F0C" w:rsidP="00A57F0C">
      <w:pPr>
        <w:numPr>
          <w:ilvl w:val="0"/>
          <w:numId w:val="5"/>
        </w:numPr>
        <w:tabs>
          <w:tab w:val="clear" w:pos="360"/>
          <w:tab w:val="num" w:pos="720"/>
        </w:tabs>
        <w:jc w:val="both"/>
        <w:rPr>
          <w:rFonts w:ascii="Times New Roman" w:hAnsi="Times New Roman" w:cs="Times New Roman"/>
          <w:b/>
          <w:bCs/>
          <w:color w:val="156082" w:themeColor="accent1"/>
        </w:rPr>
      </w:pPr>
      <w:r w:rsidRPr="00A57F0C">
        <w:rPr>
          <w:rFonts w:ascii="Times New Roman" w:hAnsi="Times New Roman" w:cs="Times New Roman"/>
          <w:b/>
          <w:bCs/>
          <w:color w:val="156082" w:themeColor="accent1"/>
        </w:rPr>
        <w:t>Synergy Information</w:t>
      </w:r>
    </w:p>
    <w:p w14:paraId="54FC435A"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lastRenderedPageBreak/>
        <w:t>"Synergy Information" means information relating to cost savings, operational efficiencies, revenue enhancement opportunities, business optimization opportunities, strategic benefits, and integration opportunities arising from the contemplated Merger Transaction.</w:t>
      </w:r>
    </w:p>
    <w:p w14:paraId="6CB0B03B" w14:textId="77777777" w:rsidR="00A57F0C" w:rsidRPr="00A57F0C" w:rsidRDefault="00A57F0C" w:rsidP="00A57F0C">
      <w:pPr>
        <w:numPr>
          <w:ilvl w:val="0"/>
          <w:numId w:val="6"/>
        </w:numPr>
        <w:tabs>
          <w:tab w:val="clear" w:pos="360"/>
          <w:tab w:val="num" w:pos="720"/>
        </w:tabs>
        <w:jc w:val="both"/>
        <w:rPr>
          <w:rFonts w:ascii="Times New Roman" w:hAnsi="Times New Roman" w:cs="Times New Roman"/>
          <w:b/>
          <w:bCs/>
          <w:color w:val="156082" w:themeColor="accent1"/>
        </w:rPr>
      </w:pPr>
      <w:r w:rsidRPr="00A57F0C">
        <w:rPr>
          <w:rFonts w:ascii="Times New Roman" w:hAnsi="Times New Roman" w:cs="Times New Roman"/>
          <w:b/>
          <w:bCs/>
          <w:color w:val="156082" w:themeColor="accent1"/>
        </w:rPr>
        <w:t>Transaction Documentation</w:t>
      </w:r>
    </w:p>
    <w:p w14:paraId="44C8D6A7" w14:textId="5281042E"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"Transaction Documentation" means term sheets, merger agreements, amalgamation agreements, scheme documents, restructuring documents, integration plans, transaction reports, presentations, and related transaction materials.</w:t>
      </w:r>
    </w:p>
    <w:p w14:paraId="67DFAE51" w14:textId="77777777" w:rsidR="00A57F0C" w:rsidRPr="00A57F0C" w:rsidRDefault="00A57F0C" w:rsidP="00A57F0C">
      <w:pPr>
        <w:jc w:val="both"/>
        <w:rPr>
          <w:rFonts w:ascii="Times New Roman" w:hAnsi="Times New Roman" w:cs="Times New Roman"/>
          <w:b/>
          <w:bCs/>
          <w:color w:val="156082" w:themeColor="accent1"/>
        </w:rPr>
      </w:pPr>
      <w:r w:rsidRPr="00A57F0C">
        <w:rPr>
          <w:rFonts w:ascii="Times New Roman" w:hAnsi="Times New Roman" w:cs="Times New Roman"/>
          <w:b/>
          <w:bCs/>
          <w:color w:val="156082" w:themeColor="accent1"/>
        </w:rPr>
        <w:t>D. CONFIDENTIAL INFORMATION EXPANSION</w:t>
      </w:r>
    </w:p>
    <w:p w14:paraId="0B2F379D"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Without limitation, Confidential Information includes:</w:t>
      </w:r>
    </w:p>
    <w:p w14:paraId="2D7541E0"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(a) corporate structures, ownership structures, shareholding information, organizational structures, subsidiary information, and governance arrangements;</w:t>
      </w:r>
    </w:p>
    <w:p w14:paraId="066CFEED"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(b) merger strategies, integration strategies, transaction structures, restructuring plans, business combination plans, and strategic objectives;</w:t>
      </w:r>
    </w:p>
    <w:p w14:paraId="1E7C87B1"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(c) financial statements, management accounts, forecasts, budgets, valuation reports, financial models, synergy analyses, and financial projections;</w:t>
      </w:r>
    </w:p>
    <w:p w14:paraId="2A6E509E"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(d) business plans, growth strategies, expansion plans, operational plans, restructuring initiatives, and future business objectives;</w:t>
      </w:r>
    </w:p>
    <w:p w14:paraId="65178388"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(e) customer information, supplier information, strategic partnership information, commercial contracts, and key business relationships;</w:t>
      </w:r>
    </w:p>
    <w:p w14:paraId="521DD2D8"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(f) intellectual property portfolios, technology assets, software assets, trade secrets, know-how, licensing arrangements, and innovation initiatives;</w:t>
      </w:r>
    </w:p>
    <w:p w14:paraId="5D2E8B86"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(g) litigation information, dispute information, investigation information, regulatory matters, contingent liabilities, and legal risk assessments;</w:t>
      </w:r>
    </w:p>
    <w:p w14:paraId="5DAB7276"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(h) tax information, tax structures, tax assessments, tax strategies, tax planning information, and tax compliance records;</w:t>
      </w:r>
    </w:p>
    <w:p w14:paraId="15531075"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w:t>
      </w:r>
      <w:proofErr w:type="spellStart"/>
      <w:r w:rsidRPr="00A57F0C">
        <w:rPr>
          <w:rFonts w:ascii="Times New Roman" w:hAnsi="Times New Roman" w:cs="Times New Roman"/>
          <w:color w:val="156082" w:themeColor="accent1"/>
        </w:rPr>
        <w:t>i</w:t>
      </w:r>
      <w:proofErr w:type="spellEnd"/>
      <w:r w:rsidRPr="00A57F0C">
        <w:rPr>
          <w:rFonts w:ascii="Times New Roman" w:hAnsi="Times New Roman" w:cs="Times New Roman"/>
          <w:color w:val="156082" w:themeColor="accent1"/>
        </w:rPr>
        <w:t>) employee information, management information, compensation structures, retention plans, workforce assessments, and organizational design information;</w:t>
      </w:r>
    </w:p>
    <w:p w14:paraId="2EAB0816"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(j) integration plans, integration assessments, transition plans, implementation roadmaps, governance frameworks, and operational alignment strategies;</w:t>
      </w:r>
    </w:p>
    <w:p w14:paraId="7261F494"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(k) synergy assessments, cost optimization plans, efficiency analyses, revenue enhancement opportunities, business optimization initiatives, and strategic evaluations;</w:t>
      </w:r>
    </w:p>
    <w:p w14:paraId="32F0C1A2"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(l) management presentations, information memoranda, transaction reports, board materials, merger proposals, transaction summaries, and transaction documentation; and</w:t>
      </w:r>
    </w:p>
    <w:p w14:paraId="3802344D" w14:textId="528803EF"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lastRenderedPageBreak/>
        <w:t>(m) any other commercial, financial, operational, legal, tax, strategic, technical, governance-related, integration-related, merger-related, synergy-related, or proprietary information disclosed in connection with the Merger Transaction.</w:t>
      </w:r>
    </w:p>
    <w:p w14:paraId="479D3322" w14:textId="77777777" w:rsidR="00A57F0C" w:rsidRPr="00A57F0C" w:rsidRDefault="00A57F0C" w:rsidP="00A57F0C">
      <w:pPr>
        <w:jc w:val="both"/>
        <w:rPr>
          <w:rFonts w:ascii="Times New Roman" w:hAnsi="Times New Roman" w:cs="Times New Roman"/>
          <w:b/>
          <w:bCs/>
          <w:color w:val="156082" w:themeColor="accent1"/>
        </w:rPr>
      </w:pPr>
      <w:r w:rsidRPr="00A57F0C">
        <w:rPr>
          <w:rFonts w:ascii="Times New Roman" w:hAnsi="Times New Roman" w:cs="Times New Roman"/>
          <w:b/>
          <w:bCs/>
          <w:color w:val="156082" w:themeColor="accent1"/>
        </w:rPr>
        <w:t>E. OPTIONAL INTRODUCED CONTACTS DATASET</w:t>
      </w:r>
    </w:p>
    <w:p w14:paraId="74BF6BED"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Target Companies</w:t>
      </w:r>
    </w:p>
    <w:p w14:paraId="6E9C555C"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Promoters</w:t>
      </w:r>
    </w:p>
    <w:p w14:paraId="7E83AAC5"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Founders</w:t>
      </w:r>
    </w:p>
    <w:p w14:paraId="1C3B4D9E"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Shareholders</w:t>
      </w:r>
    </w:p>
    <w:p w14:paraId="2A1D583A"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Board Members</w:t>
      </w:r>
    </w:p>
    <w:p w14:paraId="42CE7AE4"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Directors</w:t>
      </w:r>
    </w:p>
    <w:p w14:paraId="064D6428"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Key Management Personnel</w:t>
      </w:r>
    </w:p>
    <w:p w14:paraId="62081883"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Investors</w:t>
      </w:r>
    </w:p>
    <w:p w14:paraId="6BA14C74"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Investment Bankers</w:t>
      </w:r>
    </w:p>
    <w:p w14:paraId="25FEE971"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Financial Advisors</w:t>
      </w:r>
    </w:p>
    <w:p w14:paraId="3F4E4BB9"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Legal Advisors</w:t>
      </w:r>
    </w:p>
    <w:p w14:paraId="39BBD079"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Tax Advisors</w:t>
      </w:r>
    </w:p>
    <w:p w14:paraId="75398ABE"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Auditors</w:t>
      </w:r>
    </w:p>
    <w:p w14:paraId="3B8CA498"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Customers</w:t>
      </w:r>
    </w:p>
    <w:p w14:paraId="1D932194"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Suppliers</w:t>
      </w:r>
    </w:p>
    <w:p w14:paraId="307BF3BF"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Strategic Partners</w:t>
      </w:r>
    </w:p>
    <w:p w14:paraId="1E42BD15"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Lenders</w:t>
      </w:r>
    </w:p>
    <w:p w14:paraId="015C882E"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Financial Institutions</w:t>
      </w:r>
    </w:p>
    <w:p w14:paraId="55E0ED01"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Government Authorities</w:t>
      </w:r>
    </w:p>
    <w:p w14:paraId="30F12438"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Regulatory Authorities</w:t>
      </w:r>
    </w:p>
    <w:p w14:paraId="2E074A04"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Industry Experts</w:t>
      </w:r>
    </w:p>
    <w:p w14:paraId="68AF54D7" w14:textId="77777777" w:rsidR="00A57F0C" w:rsidRPr="00A57F0C" w:rsidRDefault="00A57F0C" w:rsidP="00A57F0C">
      <w:pPr>
        <w:jc w:val="both"/>
        <w:rPr>
          <w:rFonts w:ascii="Times New Roman" w:hAnsi="Times New Roman" w:cs="Times New Roman"/>
          <w:color w:val="156082" w:themeColor="accent1"/>
        </w:rPr>
      </w:pPr>
      <w:r w:rsidRPr="00A57F0C">
        <w:rPr>
          <w:rFonts w:ascii="Times New Roman" w:hAnsi="Times New Roman" w:cs="Times New Roman"/>
          <w:color w:val="156082" w:themeColor="accent1"/>
        </w:rPr>
        <w:t>Commercial Counterparties</w:t>
      </w:r>
    </w:p>
    <w:p w14:paraId="20653C15" w14:textId="77777777" w:rsidR="00A57F0C" w:rsidRPr="00A57F0C" w:rsidRDefault="00A57F0C" w:rsidP="00A57F0C">
      <w:pPr>
        <w:jc w:val="both"/>
        <w:rPr>
          <w:rFonts w:ascii="Times New Roman" w:hAnsi="Times New Roman" w:cs="Times New Roman"/>
          <w:color w:val="156082" w:themeColor="accent1"/>
        </w:rPr>
      </w:pPr>
    </w:p>
    <w:sectPr w:rsidR="00A57F0C" w:rsidRPr="00A57F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C10"/>
    <w:multiLevelType w:val="multilevel"/>
    <w:tmpl w:val="8584919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BC957B2"/>
    <w:multiLevelType w:val="multilevel"/>
    <w:tmpl w:val="FCBA235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99901DA"/>
    <w:multiLevelType w:val="multilevel"/>
    <w:tmpl w:val="60B800D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52B65FC4"/>
    <w:multiLevelType w:val="multilevel"/>
    <w:tmpl w:val="424CCB04"/>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B9B0A86"/>
    <w:multiLevelType w:val="multilevel"/>
    <w:tmpl w:val="CC8810B2"/>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D5C0E5B"/>
    <w:multiLevelType w:val="multilevel"/>
    <w:tmpl w:val="C658B6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72874243">
    <w:abstractNumId w:val="5"/>
  </w:num>
  <w:num w:numId="2" w16cid:durableId="252785299">
    <w:abstractNumId w:val="1"/>
  </w:num>
  <w:num w:numId="3" w16cid:durableId="635255506">
    <w:abstractNumId w:val="0"/>
  </w:num>
  <w:num w:numId="4" w16cid:durableId="1886138765">
    <w:abstractNumId w:val="3"/>
  </w:num>
  <w:num w:numId="5" w16cid:durableId="1331328904">
    <w:abstractNumId w:val="2"/>
  </w:num>
  <w:num w:numId="6" w16cid:durableId="15537315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F0C"/>
    <w:rsid w:val="004A2A2B"/>
    <w:rsid w:val="00A57F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27B53"/>
  <w15:chartTrackingRefBased/>
  <w15:docId w15:val="{C48071E7-20A2-420D-8D3E-8ED0FB90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F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F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F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F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F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F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F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F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F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F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F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F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F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F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F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F0C"/>
    <w:rPr>
      <w:rFonts w:eastAsiaTheme="majorEastAsia" w:cstheme="majorBidi"/>
      <w:color w:val="272727" w:themeColor="text1" w:themeTint="D8"/>
    </w:rPr>
  </w:style>
  <w:style w:type="paragraph" w:styleId="Title">
    <w:name w:val="Title"/>
    <w:basedOn w:val="Normal"/>
    <w:next w:val="Normal"/>
    <w:link w:val="TitleChar"/>
    <w:uiPriority w:val="10"/>
    <w:qFormat/>
    <w:rsid w:val="00A57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F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F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F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F0C"/>
    <w:pPr>
      <w:spacing w:before="160"/>
      <w:jc w:val="center"/>
    </w:pPr>
    <w:rPr>
      <w:i/>
      <w:iCs/>
      <w:color w:val="404040" w:themeColor="text1" w:themeTint="BF"/>
    </w:rPr>
  </w:style>
  <w:style w:type="character" w:customStyle="1" w:styleId="QuoteChar">
    <w:name w:val="Quote Char"/>
    <w:basedOn w:val="DefaultParagraphFont"/>
    <w:link w:val="Quote"/>
    <w:uiPriority w:val="29"/>
    <w:rsid w:val="00A57F0C"/>
    <w:rPr>
      <w:i/>
      <w:iCs/>
      <w:color w:val="404040" w:themeColor="text1" w:themeTint="BF"/>
    </w:rPr>
  </w:style>
  <w:style w:type="paragraph" w:styleId="ListParagraph">
    <w:name w:val="List Paragraph"/>
    <w:basedOn w:val="Normal"/>
    <w:uiPriority w:val="34"/>
    <w:qFormat/>
    <w:rsid w:val="00A57F0C"/>
    <w:pPr>
      <w:ind w:left="720"/>
      <w:contextualSpacing/>
    </w:pPr>
  </w:style>
  <w:style w:type="character" w:styleId="IntenseEmphasis">
    <w:name w:val="Intense Emphasis"/>
    <w:basedOn w:val="DefaultParagraphFont"/>
    <w:uiPriority w:val="21"/>
    <w:qFormat/>
    <w:rsid w:val="00A57F0C"/>
    <w:rPr>
      <w:i/>
      <w:iCs/>
      <w:color w:val="0F4761" w:themeColor="accent1" w:themeShade="BF"/>
    </w:rPr>
  </w:style>
  <w:style w:type="paragraph" w:styleId="IntenseQuote">
    <w:name w:val="Intense Quote"/>
    <w:basedOn w:val="Normal"/>
    <w:next w:val="Normal"/>
    <w:link w:val="IntenseQuoteChar"/>
    <w:uiPriority w:val="30"/>
    <w:qFormat/>
    <w:rsid w:val="00A57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F0C"/>
    <w:rPr>
      <w:i/>
      <w:iCs/>
      <w:color w:val="0F4761" w:themeColor="accent1" w:themeShade="BF"/>
    </w:rPr>
  </w:style>
  <w:style w:type="character" w:styleId="IntenseReference">
    <w:name w:val="Intense Reference"/>
    <w:basedOn w:val="DefaultParagraphFont"/>
    <w:uiPriority w:val="32"/>
    <w:qFormat/>
    <w:rsid w:val="00A57F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772</Words>
  <Characters>4405</Characters>
  <Application>Microsoft Office Word</Application>
  <DocSecurity>0</DocSecurity>
  <Lines>36</Lines>
  <Paragraphs>10</Paragraphs>
  <ScaleCrop>false</ScaleCrop>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2026-06-09T18:06:00Z</dcterms:created>
  <dcterms:modified xsi:type="dcterms:W3CDTF">2026-06-09T18:07:00Z</dcterms:modified>
</cp:coreProperties>
</file>