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5926" w14:textId="77777777" w:rsidR="00F1122C" w:rsidRPr="00F1122C" w:rsidRDefault="00F1122C" w:rsidP="00F1122C">
      <w:pPr>
        <w:jc w:val="center"/>
        <w:rPr>
          <w:rFonts w:ascii="Times New Roman" w:hAnsi="Times New Roman" w:cs="Times New Roman"/>
          <w:b/>
          <w:bCs/>
          <w:color w:val="156082" w:themeColor="accent1"/>
          <w:u w:val="single"/>
        </w:rPr>
      </w:pPr>
      <w:r w:rsidRPr="00F1122C">
        <w:rPr>
          <w:rFonts w:ascii="Times New Roman" w:hAnsi="Times New Roman" w:cs="Times New Roman"/>
          <w:b/>
          <w:bCs/>
          <w:color w:val="156082" w:themeColor="accent1"/>
          <w:u w:val="single"/>
        </w:rPr>
        <w:t>RE-03 – HYBRID PROJECT DISCUSSIONS</w:t>
      </w:r>
    </w:p>
    <w:p w14:paraId="75E707FA" w14:textId="77777777" w:rsidR="00F1122C" w:rsidRPr="00F1122C" w:rsidRDefault="00F1122C" w:rsidP="00F1122C">
      <w:pPr>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A. PURPOSE DEFINITION</w:t>
      </w:r>
    </w:p>
    <w:p w14:paraId="5676E819" w14:textId="104A5972"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"Purpose" means the evaluation, discussion, development, financing, construction, acquisition, operation, maintenance, commercialization, investment, procurement, ownership, transfer, or potential implementation of one or more hybrid renewable energy projects, including combinations of solar power, wind power, battery energy storage systems (BESS), firm renewable energy projects, dispatchable renewable energy projects, round-the-clock renewable energy projects, or other integrated renewable energy solutions.</w:t>
      </w:r>
    </w:p>
    <w:p w14:paraId="2AB2E126" w14:textId="77777777" w:rsidR="00F1122C" w:rsidRPr="00F1122C" w:rsidRDefault="00F1122C" w:rsidP="00F1122C">
      <w:pPr>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B. RECITAL VARIANT</w:t>
      </w:r>
    </w:p>
    <w:p w14:paraId="2B742F05" w14:textId="77777777" w:rsidR="00F1122C" w:rsidRPr="00F1122C" w:rsidRDefault="00F1122C" w:rsidP="00F1122C">
      <w:pPr>
        <w:jc w:val="both"/>
        <w:rPr>
          <w:rFonts w:ascii="Times New Roman" w:hAnsi="Times New Roman" w:cs="Times New Roman"/>
          <w:color w:val="156082" w:themeColor="accent1"/>
        </w:rPr>
      </w:pPr>
      <w:proofErr w:type="gramStart"/>
      <w:r w:rsidRPr="00F1122C">
        <w:rPr>
          <w:rFonts w:ascii="Times New Roman" w:hAnsi="Times New Roman" w:cs="Times New Roman"/>
          <w:color w:val="156082" w:themeColor="accent1"/>
        </w:rPr>
        <w:t>WHEREAS,</w:t>
      </w:r>
      <w:proofErr w:type="gramEnd"/>
      <w:r w:rsidRPr="00F1122C">
        <w:rPr>
          <w:rFonts w:ascii="Times New Roman" w:hAnsi="Times New Roman" w:cs="Times New Roman"/>
          <w:color w:val="156082" w:themeColor="accent1"/>
        </w:rPr>
        <w:t xml:space="preserve"> the Parties desire to evaluate and discuss one or more hybrid renewable energy projects, integrated renewable energy opportunities, renewable energy investments, hybrid generation facilities, or related commercial arrangements;</w:t>
      </w:r>
    </w:p>
    <w:p w14:paraId="233C9FD8"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WHEREAS, in connection with such discussions, the Parties may disclose and exchange confidential technical, commercial, financial, operational, regulatory, environmental, project-related, and proprietary information;</w:t>
      </w:r>
    </w:p>
    <w:p w14:paraId="3C3F697A" w14:textId="76947C2F" w:rsidR="00F1122C" w:rsidRPr="00F1122C" w:rsidRDefault="00F1122C" w:rsidP="00F1122C">
      <w:pPr>
        <w:jc w:val="both"/>
        <w:rPr>
          <w:rFonts w:ascii="Times New Roman" w:hAnsi="Times New Roman" w:cs="Times New Roman"/>
          <w:color w:val="156082" w:themeColor="accent1"/>
        </w:rPr>
      </w:pPr>
      <w:proofErr w:type="gramStart"/>
      <w:r w:rsidRPr="00F1122C">
        <w:rPr>
          <w:rFonts w:ascii="Times New Roman" w:hAnsi="Times New Roman" w:cs="Times New Roman"/>
          <w:color w:val="156082" w:themeColor="accent1"/>
        </w:rPr>
        <w:t>WHEREAS,</w:t>
      </w:r>
      <w:proofErr w:type="gramEnd"/>
      <w:r w:rsidRPr="00F1122C">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7BE4835" w14:textId="77777777" w:rsidR="00F1122C" w:rsidRPr="00F1122C" w:rsidRDefault="00F1122C" w:rsidP="00F1122C">
      <w:pPr>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C. ADDITIONAL DEFINITIONS</w:t>
      </w:r>
    </w:p>
    <w:p w14:paraId="09E4FFC2" w14:textId="77777777" w:rsidR="00F1122C" w:rsidRPr="00F1122C" w:rsidRDefault="00F1122C" w:rsidP="00F1122C">
      <w:pPr>
        <w:numPr>
          <w:ilvl w:val="0"/>
          <w:numId w:val="1"/>
        </w:numPr>
        <w:tabs>
          <w:tab w:val="clear" w:pos="360"/>
          <w:tab w:val="num" w:pos="720"/>
        </w:tabs>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Hybrid Project</w:t>
      </w:r>
    </w:p>
    <w:p w14:paraId="31347B89"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"Hybrid Project" means any renewable energy project comprising two or more renewable energy technologies, including solar photovoltaic systems, wind generation systems, battery energy storage systems, pumped storage systems, or other renewable energy technologies operating as an integrated project.</w:t>
      </w:r>
    </w:p>
    <w:p w14:paraId="45740A3D" w14:textId="77777777" w:rsidR="00F1122C" w:rsidRPr="00F1122C" w:rsidRDefault="00F1122C" w:rsidP="00F1122C">
      <w:pPr>
        <w:numPr>
          <w:ilvl w:val="0"/>
          <w:numId w:val="2"/>
        </w:numPr>
        <w:tabs>
          <w:tab w:val="clear" w:pos="360"/>
          <w:tab w:val="num" w:pos="720"/>
        </w:tabs>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Renewable Energy Assets</w:t>
      </w:r>
    </w:p>
    <w:p w14:paraId="0FB9AD57"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"Renewable Energy Assets" means solar generation assets, wind generation assets, battery energy storage systems, transmission infrastructure, evacuation systems, substations, transformers, control systems, and associated project infrastructure.</w:t>
      </w:r>
    </w:p>
    <w:p w14:paraId="613B9AA6" w14:textId="77777777" w:rsidR="00F1122C" w:rsidRPr="00F1122C" w:rsidRDefault="00F1122C" w:rsidP="00F1122C">
      <w:pPr>
        <w:numPr>
          <w:ilvl w:val="0"/>
          <w:numId w:val="3"/>
        </w:numPr>
        <w:tabs>
          <w:tab w:val="clear" w:pos="360"/>
          <w:tab w:val="num" w:pos="720"/>
        </w:tabs>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Resource Assessment Information</w:t>
      </w:r>
    </w:p>
    <w:p w14:paraId="46A8CD69"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"Resource Assessment Information" means solar irradiation studies, wind resource assessments, generation forecasts, weather studies, meteorological data, resource simulations, and energy yield analyses.</w:t>
      </w:r>
    </w:p>
    <w:p w14:paraId="54DD1FB1" w14:textId="77777777" w:rsidR="00F1122C" w:rsidRPr="00F1122C" w:rsidRDefault="00F1122C" w:rsidP="00F1122C">
      <w:pPr>
        <w:numPr>
          <w:ilvl w:val="0"/>
          <w:numId w:val="4"/>
        </w:numPr>
        <w:tabs>
          <w:tab w:val="clear" w:pos="360"/>
          <w:tab w:val="num" w:pos="720"/>
        </w:tabs>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Storage Information</w:t>
      </w:r>
    </w:p>
    <w:p w14:paraId="4215AE61"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"Storage Information" means information relating to battery systems, storage technologies, charging systems, discharging systems, storage capacities, storage performance, storage degradation, and energy management systems.</w:t>
      </w:r>
    </w:p>
    <w:p w14:paraId="54CF9A5A" w14:textId="77777777" w:rsidR="00F1122C" w:rsidRPr="00F1122C" w:rsidRDefault="00F1122C" w:rsidP="00F1122C">
      <w:pPr>
        <w:numPr>
          <w:ilvl w:val="0"/>
          <w:numId w:val="5"/>
        </w:numPr>
        <w:tabs>
          <w:tab w:val="clear" w:pos="360"/>
          <w:tab w:val="num" w:pos="720"/>
        </w:tabs>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lastRenderedPageBreak/>
        <w:t>Hybrid Generation Information</w:t>
      </w:r>
    </w:p>
    <w:p w14:paraId="3B6143BD"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"Hybrid Generation Information" means information relating to generation profiles, generation optimization, dispatch planning, load balancing, forecasting models, scheduling strategies, and integrated generation management.</w:t>
      </w:r>
    </w:p>
    <w:p w14:paraId="1D7089B8" w14:textId="77777777" w:rsidR="00F1122C" w:rsidRPr="00F1122C" w:rsidRDefault="00F1122C" w:rsidP="00F1122C">
      <w:pPr>
        <w:numPr>
          <w:ilvl w:val="0"/>
          <w:numId w:val="6"/>
        </w:numPr>
        <w:tabs>
          <w:tab w:val="clear" w:pos="360"/>
          <w:tab w:val="num" w:pos="720"/>
        </w:tabs>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Project Documents</w:t>
      </w:r>
    </w:p>
    <w:p w14:paraId="6195A14C" w14:textId="674510BD"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"Project Documents" means permits, approvals, licenses, EPC contracts, O&amp;M contracts, land agreements, financing documents, power purchase agreements, storage agreements, transmission agreements, and related project documentation.</w:t>
      </w:r>
    </w:p>
    <w:p w14:paraId="4459CDEE" w14:textId="77777777" w:rsidR="00F1122C" w:rsidRPr="00F1122C" w:rsidRDefault="00F1122C" w:rsidP="00F1122C">
      <w:pPr>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D. CONFIDENTIAL INFORMATION EXPANSION</w:t>
      </w:r>
    </w:p>
    <w:p w14:paraId="443E094A"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Without limitation, Confidential Information includes:</w:t>
      </w:r>
    </w:p>
    <w:p w14:paraId="1AF72FF4"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(a) solar resource studies, wind resource studies, generation studies, forecasting models, yield assessments, and meteorological analyses;</w:t>
      </w:r>
    </w:p>
    <w:p w14:paraId="17F775D7"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(b) hybrid project designs, project layouts, engineering drawings, technical specifications, electrical designs, control system designs, and system architecture documents;</w:t>
      </w:r>
    </w:p>
    <w:p w14:paraId="0B70768D"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(c) battery specifications, storage system designs, battery performance reports, degradation studies, charging strategies, discharging strategies, and storage optimization analyses;</w:t>
      </w:r>
    </w:p>
    <w:p w14:paraId="7480B099"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(d) generation profiles, scheduling models, dispatch strategies, forecasting methodologies, load management plans, and energy management systems;</w:t>
      </w:r>
    </w:p>
    <w:p w14:paraId="0803D253"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(e) EPC proposals, O&amp;M proposals, project implementation plans, project schedules, construction methodologies, and execution strategies;</w:t>
      </w:r>
    </w:p>
    <w:p w14:paraId="15A86DA2"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(f) project financial models, tariffs, hybrid economics, revenue forecasts, financing structures, debt models, and investment analyses;</w:t>
      </w:r>
    </w:p>
    <w:p w14:paraId="79828B28"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(g) power purchase arrangements, RTC supply arrangements, FDRE arrangements, open access structures, captive structures, and energy sale mechanisms;</w:t>
      </w:r>
    </w:p>
    <w:p w14:paraId="20217D49"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(h) environmental studies, land studies, permitting information, regulatory approvals, transmission approvals, and compliance documentation;</w:t>
      </w:r>
    </w:p>
    <w:p w14:paraId="3FD027D2"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w:t>
      </w:r>
      <w:proofErr w:type="spellStart"/>
      <w:r w:rsidRPr="00F1122C">
        <w:rPr>
          <w:rFonts w:ascii="Times New Roman" w:hAnsi="Times New Roman" w:cs="Times New Roman"/>
          <w:color w:val="156082" w:themeColor="accent1"/>
        </w:rPr>
        <w:t>i</w:t>
      </w:r>
      <w:proofErr w:type="spellEnd"/>
      <w:r w:rsidRPr="00F1122C">
        <w:rPr>
          <w:rFonts w:ascii="Times New Roman" w:hAnsi="Times New Roman" w:cs="Times New Roman"/>
          <w:color w:val="156082" w:themeColor="accent1"/>
        </w:rPr>
        <w:t>) equipment specifications, supplier evaluations, procurement strategies, technical assessments, performance guarantees, and vendor information;</w:t>
      </w:r>
    </w:p>
    <w:p w14:paraId="2F947603"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(j) project performance reports, generation reports, storage reports, operational reports, maintenance reports, availability reports, and optimization reports;</w:t>
      </w:r>
    </w:p>
    <w:p w14:paraId="6D8018F2"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(k) carbon credit opportunities, renewable energy certificate opportunities, sustainability initiatives, ESG analyses, and environmental benefit assessments;</w:t>
      </w:r>
    </w:p>
    <w:p w14:paraId="6649DD2B"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(l) acquisition opportunities, investment opportunities, project sale opportunities, development opportunities, and strategic partnership opportunities; and</w:t>
      </w:r>
    </w:p>
    <w:p w14:paraId="0DDC9154" w14:textId="1D12EDB6"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lastRenderedPageBreak/>
        <w:t>(m) any other technical, commercial, financial, operational, environmental, regulatory, storage-related, renewable-energy-related, project-related, strategic, or proprietary information disclosed in connection with the Hybrid Project.</w:t>
      </w:r>
    </w:p>
    <w:p w14:paraId="61C00839" w14:textId="77777777" w:rsidR="00F1122C" w:rsidRPr="00F1122C" w:rsidRDefault="00F1122C" w:rsidP="00F1122C">
      <w:pPr>
        <w:jc w:val="both"/>
        <w:rPr>
          <w:rFonts w:ascii="Times New Roman" w:hAnsi="Times New Roman" w:cs="Times New Roman"/>
          <w:b/>
          <w:bCs/>
          <w:color w:val="156082" w:themeColor="accent1"/>
        </w:rPr>
      </w:pPr>
      <w:r w:rsidRPr="00F1122C">
        <w:rPr>
          <w:rFonts w:ascii="Times New Roman" w:hAnsi="Times New Roman" w:cs="Times New Roman"/>
          <w:b/>
          <w:bCs/>
          <w:color w:val="156082" w:themeColor="accent1"/>
        </w:rPr>
        <w:t>E. OPTIONAL INTRODUCED CONTACTS DATASET</w:t>
      </w:r>
    </w:p>
    <w:p w14:paraId="1F086234"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Hybrid Project Developers</w:t>
      </w:r>
    </w:p>
    <w:p w14:paraId="1FAC2329"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Solar Developers</w:t>
      </w:r>
    </w:p>
    <w:p w14:paraId="29CD8D33"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Wind Developers</w:t>
      </w:r>
    </w:p>
    <w:p w14:paraId="4DAEA4EF"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Battery Storage Developers</w:t>
      </w:r>
    </w:p>
    <w:p w14:paraId="3FFA42A3"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Project Owners</w:t>
      </w:r>
    </w:p>
    <w:p w14:paraId="7EDB2A92"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EPC Contractors</w:t>
      </w:r>
    </w:p>
    <w:p w14:paraId="38FD2E8E"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O&amp;M Contractors</w:t>
      </w:r>
    </w:p>
    <w:p w14:paraId="63EFDFD1"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Battery Suppliers</w:t>
      </w:r>
    </w:p>
    <w:p w14:paraId="046A33CA"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Module Suppliers</w:t>
      </w:r>
    </w:p>
    <w:p w14:paraId="79517E35"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WTG Manufacturers</w:t>
      </w:r>
    </w:p>
    <w:p w14:paraId="4663AF70"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Investors</w:t>
      </w:r>
    </w:p>
    <w:p w14:paraId="794E4303"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Lenders</w:t>
      </w:r>
    </w:p>
    <w:p w14:paraId="4A6DB670"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Banks</w:t>
      </w:r>
    </w:p>
    <w:p w14:paraId="6DFCB356"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 xml:space="preserve">Corporate </w:t>
      </w:r>
      <w:proofErr w:type="spellStart"/>
      <w:r w:rsidRPr="00F1122C">
        <w:rPr>
          <w:rFonts w:ascii="Times New Roman" w:hAnsi="Times New Roman" w:cs="Times New Roman"/>
          <w:color w:val="156082" w:themeColor="accent1"/>
        </w:rPr>
        <w:t>Offtakers</w:t>
      </w:r>
      <w:proofErr w:type="spellEnd"/>
    </w:p>
    <w:p w14:paraId="1278E37B"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Open Access Consumers</w:t>
      </w:r>
    </w:p>
    <w:p w14:paraId="42BB9543"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Transmission Utilities</w:t>
      </w:r>
    </w:p>
    <w:p w14:paraId="315A124B"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Grid Operators</w:t>
      </w:r>
    </w:p>
    <w:p w14:paraId="677C90C0"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Independent Engineers</w:t>
      </w:r>
    </w:p>
    <w:p w14:paraId="30C9F6DC"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Technical Consultants</w:t>
      </w:r>
    </w:p>
    <w:p w14:paraId="4F1018FB"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Government Authorities</w:t>
      </w:r>
    </w:p>
    <w:p w14:paraId="379B44D4"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Regulatory Authorities</w:t>
      </w:r>
    </w:p>
    <w:p w14:paraId="5AAC4537" w14:textId="77777777" w:rsidR="00F1122C" w:rsidRPr="00F1122C" w:rsidRDefault="00F1122C" w:rsidP="00F1122C">
      <w:pPr>
        <w:jc w:val="both"/>
        <w:rPr>
          <w:rFonts w:ascii="Times New Roman" w:hAnsi="Times New Roman" w:cs="Times New Roman"/>
          <w:color w:val="156082" w:themeColor="accent1"/>
        </w:rPr>
      </w:pPr>
      <w:r w:rsidRPr="00F1122C">
        <w:rPr>
          <w:rFonts w:ascii="Times New Roman" w:hAnsi="Times New Roman" w:cs="Times New Roman"/>
          <w:color w:val="156082" w:themeColor="accent1"/>
        </w:rPr>
        <w:t>Strategic Partners</w:t>
      </w:r>
    </w:p>
    <w:p w14:paraId="26B0C9C1" w14:textId="77777777" w:rsidR="00F1122C" w:rsidRPr="00F1122C" w:rsidRDefault="00F1122C" w:rsidP="00F1122C">
      <w:pPr>
        <w:jc w:val="both"/>
        <w:rPr>
          <w:rFonts w:ascii="Times New Roman" w:hAnsi="Times New Roman" w:cs="Times New Roman"/>
          <w:color w:val="156082" w:themeColor="accent1"/>
        </w:rPr>
      </w:pPr>
    </w:p>
    <w:sectPr w:rsidR="00F1122C" w:rsidRPr="00F11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D69"/>
    <w:multiLevelType w:val="multilevel"/>
    <w:tmpl w:val="6A8862D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5BE5632"/>
    <w:multiLevelType w:val="multilevel"/>
    <w:tmpl w:val="07A8029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23F3980"/>
    <w:multiLevelType w:val="multilevel"/>
    <w:tmpl w:val="5E72CA7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0E3683E"/>
    <w:multiLevelType w:val="multilevel"/>
    <w:tmpl w:val="CBE22D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F94798C"/>
    <w:multiLevelType w:val="multilevel"/>
    <w:tmpl w:val="77100C7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750775A"/>
    <w:multiLevelType w:val="multilevel"/>
    <w:tmpl w:val="FC700F0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36735056">
    <w:abstractNumId w:val="3"/>
  </w:num>
  <w:num w:numId="2" w16cid:durableId="1769421706">
    <w:abstractNumId w:val="0"/>
  </w:num>
  <w:num w:numId="3" w16cid:durableId="1877154688">
    <w:abstractNumId w:val="4"/>
  </w:num>
  <w:num w:numId="4" w16cid:durableId="1478961821">
    <w:abstractNumId w:val="2"/>
  </w:num>
  <w:num w:numId="5" w16cid:durableId="1008556421">
    <w:abstractNumId w:val="5"/>
  </w:num>
  <w:num w:numId="6" w16cid:durableId="1793359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2C"/>
    <w:rsid w:val="001D50F3"/>
    <w:rsid w:val="00F11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8495"/>
  <w15:chartTrackingRefBased/>
  <w15:docId w15:val="{B8D29863-D39C-44F3-AEF1-53075C04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22C"/>
    <w:rPr>
      <w:rFonts w:eastAsiaTheme="majorEastAsia" w:cstheme="majorBidi"/>
      <w:color w:val="272727" w:themeColor="text1" w:themeTint="D8"/>
    </w:rPr>
  </w:style>
  <w:style w:type="paragraph" w:styleId="Title">
    <w:name w:val="Title"/>
    <w:basedOn w:val="Normal"/>
    <w:next w:val="Normal"/>
    <w:link w:val="TitleChar"/>
    <w:uiPriority w:val="10"/>
    <w:qFormat/>
    <w:rsid w:val="00F11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22C"/>
    <w:pPr>
      <w:spacing w:before="160"/>
      <w:jc w:val="center"/>
    </w:pPr>
    <w:rPr>
      <w:i/>
      <w:iCs/>
      <w:color w:val="404040" w:themeColor="text1" w:themeTint="BF"/>
    </w:rPr>
  </w:style>
  <w:style w:type="character" w:customStyle="1" w:styleId="QuoteChar">
    <w:name w:val="Quote Char"/>
    <w:basedOn w:val="DefaultParagraphFont"/>
    <w:link w:val="Quote"/>
    <w:uiPriority w:val="29"/>
    <w:rsid w:val="00F1122C"/>
    <w:rPr>
      <w:i/>
      <w:iCs/>
      <w:color w:val="404040" w:themeColor="text1" w:themeTint="BF"/>
    </w:rPr>
  </w:style>
  <w:style w:type="paragraph" w:styleId="ListParagraph">
    <w:name w:val="List Paragraph"/>
    <w:basedOn w:val="Normal"/>
    <w:uiPriority w:val="34"/>
    <w:qFormat/>
    <w:rsid w:val="00F1122C"/>
    <w:pPr>
      <w:ind w:left="720"/>
      <w:contextualSpacing/>
    </w:pPr>
  </w:style>
  <w:style w:type="character" w:styleId="IntenseEmphasis">
    <w:name w:val="Intense Emphasis"/>
    <w:basedOn w:val="DefaultParagraphFont"/>
    <w:uiPriority w:val="21"/>
    <w:qFormat/>
    <w:rsid w:val="00F1122C"/>
    <w:rPr>
      <w:i/>
      <w:iCs/>
      <w:color w:val="0F4761" w:themeColor="accent1" w:themeShade="BF"/>
    </w:rPr>
  </w:style>
  <w:style w:type="paragraph" w:styleId="IntenseQuote">
    <w:name w:val="Intense Quote"/>
    <w:basedOn w:val="Normal"/>
    <w:next w:val="Normal"/>
    <w:link w:val="IntenseQuoteChar"/>
    <w:uiPriority w:val="30"/>
    <w:qFormat/>
    <w:rsid w:val="00F11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22C"/>
    <w:rPr>
      <w:i/>
      <w:iCs/>
      <w:color w:val="0F4761" w:themeColor="accent1" w:themeShade="BF"/>
    </w:rPr>
  </w:style>
  <w:style w:type="character" w:styleId="IntenseReference">
    <w:name w:val="Intense Reference"/>
    <w:basedOn w:val="DefaultParagraphFont"/>
    <w:uiPriority w:val="32"/>
    <w:qFormat/>
    <w:rsid w:val="00F11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2026-06-09T18:16:00Z</dcterms:created>
  <dcterms:modified xsi:type="dcterms:W3CDTF">2026-06-09T18:18:00Z</dcterms:modified>
</cp:coreProperties>
</file>