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4852" w14:textId="77777777" w:rsidR="009C733F" w:rsidRPr="009C733F" w:rsidRDefault="009C733F" w:rsidP="009C733F">
      <w:pPr>
        <w:jc w:val="center"/>
        <w:rPr>
          <w:rFonts w:ascii="Times New Roman" w:hAnsi="Times New Roman" w:cs="Times New Roman"/>
          <w:b/>
          <w:bCs/>
          <w:color w:val="156082" w:themeColor="accent1"/>
          <w:u w:val="single"/>
        </w:rPr>
      </w:pPr>
      <w:r w:rsidRPr="009C733F">
        <w:rPr>
          <w:rFonts w:ascii="Times New Roman" w:hAnsi="Times New Roman" w:cs="Times New Roman"/>
          <w:b/>
          <w:bCs/>
          <w:color w:val="156082" w:themeColor="accent1"/>
          <w:u w:val="single"/>
        </w:rPr>
        <w:t>RE-04 – BATTERY ENERGY STORAGE SYSTEM (BESS) DISCUSSIONS</w:t>
      </w:r>
    </w:p>
    <w:p w14:paraId="100831EE" w14:textId="77777777" w:rsidR="009C733F" w:rsidRPr="009C733F" w:rsidRDefault="009C733F" w:rsidP="009C733F">
      <w:pPr>
        <w:jc w:val="both"/>
        <w:rPr>
          <w:rFonts w:ascii="Times New Roman" w:hAnsi="Times New Roman" w:cs="Times New Roman"/>
          <w:b/>
          <w:bCs/>
          <w:color w:val="156082" w:themeColor="accent1"/>
        </w:rPr>
      </w:pPr>
      <w:r w:rsidRPr="009C733F">
        <w:rPr>
          <w:rFonts w:ascii="Times New Roman" w:hAnsi="Times New Roman" w:cs="Times New Roman"/>
          <w:b/>
          <w:bCs/>
          <w:color w:val="156082" w:themeColor="accent1"/>
        </w:rPr>
        <w:t>A. PURPOSE DEFINITION</w:t>
      </w:r>
    </w:p>
    <w:p w14:paraId="5DF4EAC9" w14:textId="6FD7444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"Purpose" means the evaluation, discussion, development, financing, construction, acquisition, operation, maintenance, commercialization, investment, procurement, ownership, transfer, optimization, or potential implementation of one or more Battery Energy Storage System (BESS) projects, energy storage facilities, storage assets, renewable-plus-storage projects, grid support projects, ancillary services projects, or other energy storage opportunities.</w:t>
      </w:r>
    </w:p>
    <w:p w14:paraId="17E00833" w14:textId="77777777" w:rsidR="009C733F" w:rsidRPr="009C733F" w:rsidRDefault="009C733F" w:rsidP="009C733F">
      <w:pPr>
        <w:jc w:val="both"/>
        <w:rPr>
          <w:rFonts w:ascii="Times New Roman" w:hAnsi="Times New Roman" w:cs="Times New Roman"/>
          <w:b/>
          <w:bCs/>
          <w:color w:val="156082" w:themeColor="accent1"/>
        </w:rPr>
      </w:pPr>
      <w:r w:rsidRPr="009C733F">
        <w:rPr>
          <w:rFonts w:ascii="Times New Roman" w:hAnsi="Times New Roman" w:cs="Times New Roman"/>
          <w:b/>
          <w:bCs/>
          <w:color w:val="156082" w:themeColor="accent1"/>
        </w:rPr>
        <w:t>B. RECITAL VARIANT</w:t>
      </w:r>
    </w:p>
    <w:p w14:paraId="08A74494" w14:textId="77777777" w:rsidR="009C733F" w:rsidRPr="009C733F" w:rsidRDefault="009C733F" w:rsidP="009C733F">
      <w:pPr>
        <w:jc w:val="both"/>
        <w:rPr>
          <w:rFonts w:ascii="Times New Roman" w:hAnsi="Times New Roman" w:cs="Times New Roman"/>
          <w:color w:val="156082" w:themeColor="accent1"/>
        </w:rPr>
      </w:pPr>
      <w:proofErr w:type="gramStart"/>
      <w:r w:rsidRPr="009C733F">
        <w:rPr>
          <w:rFonts w:ascii="Times New Roman" w:hAnsi="Times New Roman" w:cs="Times New Roman"/>
          <w:color w:val="156082" w:themeColor="accent1"/>
        </w:rPr>
        <w:t>WHEREAS,</w:t>
      </w:r>
      <w:proofErr w:type="gramEnd"/>
      <w:r w:rsidRPr="009C733F">
        <w:rPr>
          <w:rFonts w:ascii="Times New Roman" w:hAnsi="Times New Roman" w:cs="Times New Roman"/>
          <w:color w:val="156082" w:themeColor="accent1"/>
        </w:rPr>
        <w:t xml:space="preserve"> the Parties desire to evaluate and discuss one or more battery energy storage projects, energy storage opportunities, storage investments, renewable-plus-storage projects, or related commercial arrangements;</w:t>
      </w:r>
    </w:p>
    <w:p w14:paraId="13FE9026"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WHEREAS, in connection with such discussions, the Parties may disclose and exchange confidential technical, commercial, financial, operational, regulatory, environmental, project-related, and proprietary information;</w:t>
      </w:r>
    </w:p>
    <w:p w14:paraId="41745FFD" w14:textId="6B371CB6" w:rsidR="009C733F" w:rsidRPr="009C733F" w:rsidRDefault="009C733F" w:rsidP="009C733F">
      <w:pPr>
        <w:jc w:val="both"/>
        <w:rPr>
          <w:rFonts w:ascii="Times New Roman" w:hAnsi="Times New Roman" w:cs="Times New Roman"/>
          <w:color w:val="156082" w:themeColor="accent1"/>
        </w:rPr>
      </w:pPr>
      <w:proofErr w:type="gramStart"/>
      <w:r w:rsidRPr="009C733F">
        <w:rPr>
          <w:rFonts w:ascii="Times New Roman" w:hAnsi="Times New Roman" w:cs="Times New Roman"/>
          <w:color w:val="156082" w:themeColor="accent1"/>
        </w:rPr>
        <w:t>WHEREAS,</w:t>
      </w:r>
      <w:proofErr w:type="gramEnd"/>
      <w:r w:rsidRPr="009C733F">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28934806" w14:textId="77777777" w:rsidR="009C733F" w:rsidRPr="009C733F" w:rsidRDefault="009C733F" w:rsidP="009C733F">
      <w:pPr>
        <w:jc w:val="both"/>
        <w:rPr>
          <w:rFonts w:ascii="Times New Roman" w:hAnsi="Times New Roman" w:cs="Times New Roman"/>
          <w:b/>
          <w:bCs/>
          <w:color w:val="156082" w:themeColor="accent1"/>
        </w:rPr>
      </w:pPr>
      <w:r w:rsidRPr="009C733F">
        <w:rPr>
          <w:rFonts w:ascii="Times New Roman" w:hAnsi="Times New Roman" w:cs="Times New Roman"/>
          <w:b/>
          <w:bCs/>
          <w:color w:val="156082" w:themeColor="accent1"/>
        </w:rPr>
        <w:t>C. ADDITIONAL DEFINITIONS</w:t>
      </w:r>
    </w:p>
    <w:p w14:paraId="353EE339" w14:textId="77777777" w:rsidR="009C733F" w:rsidRPr="009C733F" w:rsidRDefault="009C733F" w:rsidP="009C733F">
      <w:pPr>
        <w:numPr>
          <w:ilvl w:val="0"/>
          <w:numId w:val="1"/>
        </w:numPr>
        <w:tabs>
          <w:tab w:val="clear" w:pos="360"/>
          <w:tab w:val="num" w:pos="720"/>
        </w:tabs>
        <w:jc w:val="both"/>
        <w:rPr>
          <w:rFonts w:ascii="Times New Roman" w:hAnsi="Times New Roman" w:cs="Times New Roman"/>
          <w:b/>
          <w:bCs/>
          <w:color w:val="156082" w:themeColor="accent1"/>
        </w:rPr>
      </w:pPr>
      <w:r w:rsidRPr="009C733F">
        <w:rPr>
          <w:rFonts w:ascii="Times New Roman" w:hAnsi="Times New Roman" w:cs="Times New Roman"/>
          <w:b/>
          <w:bCs/>
          <w:color w:val="156082" w:themeColor="accent1"/>
        </w:rPr>
        <w:t>Battery Energy Storage System or BESS</w:t>
      </w:r>
    </w:p>
    <w:p w14:paraId="489FE1C4"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"Battery Energy Storage System" or "BESS" means a system comprising battery cells, battery modules, battery racks, battery containers, battery management systems (BMS), power conversion systems (PCS), transformers, control systems, software platforms, monitoring systems, and associated infrastructure used to store and dispatch electrical energy.</w:t>
      </w:r>
    </w:p>
    <w:p w14:paraId="38A4F0CC" w14:textId="77777777" w:rsidR="009C733F" w:rsidRPr="009C733F" w:rsidRDefault="009C733F" w:rsidP="009C733F">
      <w:pPr>
        <w:numPr>
          <w:ilvl w:val="0"/>
          <w:numId w:val="2"/>
        </w:numPr>
        <w:tabs>
          <w:tab w:val="clear" w:pos="360"/>
          <w:tab w:val="num" w:pos="720"/>
        </w:tabs>
        <w:jc w:val="both"/>
        <w:rPr>
          <w:rFonts w:ascii="Times New Roman" w:hAnsi="Times New Roman" w:cs="Times New Roman"/>
          <w:b/>
          <w:bCs/>
          <w:color w:val="156082" w:themeColor="accent1"/>
        </w:rPr>
      </w:pPr>
      <w:r w:rsidRPr="009C733F">
        <w:rPr>
          <w:rFonts w:ascii="Times New Roman" w:hAnsi="Times New Roman" w:cs="Times New Roman"/>
          <w:b/>
          <w:bCs/>
          <w:color w:val="156082" w:themeColor="accent1"/>
        </w:rPr>
        <w:t>Energy Storage Asset</w:t>
      </w:r>
    </w:p>
    <w:p w14:paraId="2AB69EB9"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"Energy Storage Asset" means any battery system, storage facility, charging system, discharging system, augmentation system, control system, energy management system, or related infrastructure forming part of a BESS project.</w:t>
      </w:r>
    </w:p>
    <w:p w14:paraId="3AF3E62A" w14:textId="77777777" w:rsidR="009C733F" w:rsidRPr="009C733F" w:rsidRDefault="009C733F" w:rsidP="009C733F">
      <w:pPr>
        <w:numPr>
          <w:ilvl w:val="0"/>
          <w:numId w:val="3"/>
        </w:numPr>
        <w:tabs>
          <w:tab w:val="clear" w:pos="360"/>
          <w:tab w:val="num" w:pos="720"/>
        </w:tabs>
        <w:jc w:val="both"/>
        <w:rPr>
          <w:rFonts w:ascii="Times New Roman" w:hAnsi="Times New Roman" w:cs="Times New Roman"/>
          <w:b/>
          <w:bCs/>
          <w:color w:val="156082" w:themeColor="accent1"/>
        </w:rPr>
      </w:pPr>
      <w:r w:rsidRPr="009C733F">
        <w:rPr>
          <w:rFonts w:ascii="Times New Roman" w:hAnsi="Times New Roman" w:cs="Times New Roman"/>
          <w:b/>
          <w:bCs/>
          <w:color w:val="156082" w:themeColor="accent1"/>
        </w:rPr>
        <w:t>Storage Information</w:t>
      </w:r>
    </w:p>
    <w:p w14:paraId="39D1B39F"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"Storage Information" means information relating to storage capacity, energy ratings, power ratings, charging profiles, discharging profiles, round-trip efficiency, degradation characteristics, augmentation requirements, and performance guarantees.</w:t>
      </w:r>
    </w:p>
    <w:p w14:paraId="3CE4B6D9" w14:textId="77777777" w:rsidR="009C733F" w:rsidRPr="009C733F" w:rsidRDefault="009C733F" w:rsidP="009C733F">
      <w:pPr>
        <w:numPr>
          <w:ilvl w:val="0"/>
          <w:numId w:val="4"/>
        </w:numPr>
        <w:tabs>
          <w:tab w:val="clear" w:pos="360"/>
          <w:tab w:val="num" w:pos="720"/>
        </w:tabs>
        <w:jc w:val="both"/>
        <w:rPr>
          <w:rFonts w:ascii="Times New Roman" w:hAnsi="Times New Roman" w:cs="Times New Roman"/>
          <w:b/>
          <w:bCs/>
          <w:color w:val="156082" w:themeColor="accent1"/>
        </w:rPr>
      </w:pPr>
      <w:r w:rsidRPr="009C733F">
        <w:rPr>
          <w:rFonts w:ascii="Times New Roman" w:hAnsi="Times New Roman" w:cs="Times New Roman"/>
          <w:b/>
          <w:bCs/>
          <w:color w:val="156082" w:themeColor="accent1"/>
        </w:rPr>
        <w:t>Battery Performance Information</w:t>
      </w:r>
    </w:p>
    <w:p w14:paraId="2D4785BD"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"Battery Performance Information" means information relating to cycle life, state of charge (SOC), state of health (SOH), degradation rates, availability metrics, efficiency metrics, battery warranties, and operational performance.</w:t>
      </w:r>
    </w:p>
    <w:p w14:paraId="2BE27482" w14:textId="77777777" w:rsidR="009C733F" w:rsidRPr="009C733F" w:rsidRDefault="009C733F" w:rsidP="009C733F">
      <w:pPr>
        <w:numPr>
          <w:ilvl w:val="0"/>
          <w:numId w:val="5"/>
        </w:numPr>
        <w:tabs>
          <w:tab w:val="clear" w:pos="360"/>
          <w:tab w:val="num" w:pos="720"/>
        </w:tabs>
        <w:jc w:val="both"/>
        <w:rPr>
          <w:rFonts w:ascii="Times New Roman" w:hAnsi="Times New Roman" w:cs="Times New Roman"/>
          <w:b/>
          <w:bCs/>
          <w:color w:val="156082" w:themeColor="accent1"/>
        </w:rPr>
      </w:pPr>
      <w:r w:rsidRPr="009C733F">
        <w:rPr>
          <w:rFonts w:ascii="Times New Roman" w:hAnsi="Times New Roman" w:cs="Times New Roman"/>
          <w:b/>
          <w:bCs/>
          <w:color w:val="156082" w:themeColor="accent1"/>
        </w:rPr>
        <w:t>Energy Management System</w:t>
      </w:r>
    </w:p>
    <w:p w14:paraId="299C78B1"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lastRenderedPageBreak/>
        <w:t>"Energy Management System" or "EMS" means software, control systems, forecasting systems, dispatch systems, optimization systems, monitoring platforms, and related technologies used for managing BESS operations.</w:t>
      </w:r>
    </w:p>
    <w:p w14:paraId="72CEF37E" w14:textId="77777777" w:rsidR="009C733F" w:rsidRPr="009C733F" w:rsidRDefault="009C733F" w:rsidP="009C733F">
      <w:pPr>
        <w:numPr>
          <w:ilvl w:val="0"/>
          <w:numId w:val="6"/>
        </w:numPr>
        <w:tabs>
          <w:tab w:val="clear" w:pos="360"/>
          <w:tab w:val="num" w:pos="720"/>
        </w:tabs>
        <w:jc w:val="both"/>
        <w:rPr>
          <w:rFonts w:ascii="Times New Roman" w:hAnsi="Times New Roman" w:cs="Times New Roman"/>
          <w:b/>
          <w:bCs/>
          <w:color w:val="156082" w:themeColor="accent1"/>
        </w:rPr>
      </w:pPr>
      <w:r w:rsidRPr="009C733F">
        <w:rPr>
          <w:rFonts w:ascii="Times New Roman" w:hAnsi="Times New Roman" w:cs="Times New Roman"/>
          <w:b/>
          <w:bCs/>
          <w:color w:val="156082" w:themeColor="accent1"/>
        </w:rPr>
        <w:t>Project Documents</w:t>
      </w:r>
    </w:p>
    <w:p w14:paraId="69564FEB" w14:textId="04AF1932"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"Project Documents" means EPC contracts, O&amp;M contracts, battery supply agreements, warranty agreements, financing documents, land agreements, grid connectivity agreements, energy service agreements, and related project documentation.</w:t>
      </w:r>
    </w:p>
    <w:p w14:paraId="2F44C7BC" w14:textId="77777777" w:rsidR="009C733F" w:rsidRPr="009C733F" w:rsidRDefault="009C733F" w:rsidP="009C733F">
      <w:pPr>
        <w:jc w:val="both"/>
        <w:rPr>
          <w:rFonts w:ascii="Times New Roman" w:hAnsi="Times New Roman" w:cs="Times New Roman"/>
          <w:b/>
          <w:bCs/>
          <w:color w:val="156082" w:themeColor="accent1"/>
        </w:rPr>
      </w:pPr>
      <w:r w:rsidRPr="009C733F">
        <w:rPr>
          <w:rFonts w:ascii="Times New Roman" w:hAnsi="Times New Roman" w:cs="Times New Roman"/>
          <w:b/>
          <w:bCs/>
          <w:color w:val="156082" w:themeColor="accent1"/>
        </w:rPr>
        <w:t>D. CONFIDENTIAL INFORMATION EXPANSION</w:t>
      </w:r>
    </w:p>
    <w:p w14:paraId="7CAF3735"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Without limitation, Confidential Information includes:</w:t>
      </w:r>
    </w:p>
    <w:p w14:paraId="68E5EA22"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(a) battery specifications, battery chemistry information, battery cell information, battery module information, battery rack information, and storage technology information;</w:t>
      </w:r>
    </w:p>
    <w:p w14:paraId="5753FA2F"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(b) storage capacities, power ratings, energy ratings, charging strategies, discharging strategies, operational profiles, and performance analyses;</w:t>
      </w:r>
    </w:p>
    <w:p w14:paraId="4BB1C320"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(c) degradation studies, augmentation plans, lifecycle assessments, warranty information, replacement strategies, and performance guarantee information;</w:t>
      </w:r>
    </w:p>
    <w:p w14:paraId="7D978B99"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(d) battery management systems (BMS), energy management systems (EMS), supervisory control systems, monitoring systems, software platforms, and optimization algorithms;</w:t>
      </w:r>
    </w:p>
    <w:p w14:paraId="39D358C7"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(e) project layouts, engineering designs, technical specifications, electrical designs, system architecture documents, and integration designs;</w:t>
      </w:r>
    </w:p>
    <w:p w14:paraId="7C01AF38"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(f) project schedules, EPC proposals, O&amp;M proposals, implementation plans, commissioning plans, and project execution strategies;</w:t>
      </w:r>
    </w:p>
    <w:p w14:paraId="67ABEAE2"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(g) financial models, storage revenue models, ancillary services revenue models, arbitrage models, financing plans, debt structures, and investment analyses;</w:t>
      </w:r>
    </w:p>
    <w:p w14:paraId="495EBD89"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(h) grid services information, frequency regulation opportunities, ancillary services opportunities, peak shaving strategies, load shifting strategies, and dispatch strategies;</w:t>
      </w:r>
    </w:p>
    <w:p w14:paraId="529A1E04"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w:t>
      </w:r>
      <w:proofErr w:type="spellStart"/>
      <w:r w:rsidRPr="009C733F">
        <w:rPr>
          <w:rFonts w:ascii="Times New Roman" w:hAnsi="Times New Roman" w:cs="Times New Roman"/>
          <w:color w:val="156082" w:themeColor="accent1"/>
        </w:rPr>
        <w:t>i</w:t>
      </w:r>
      <w:proofErr w:type="spellEnd"/>
      <w:r w:rsidRPr="009C733F">
        <w:rPr>
          <w:rFonts w:ascii="Times New Roman" w:hAnsi="Times New Roman" w:cs="Times New Roman"/>
          <w:color w:val="156082" w:themeColor="accent1"/>
        </w:rPr>
        <w:t>) permits, approvals, licenses, environmental studies, safety studies, fire protection studies, regulatory approvals, and compliance documentation;</w:t>
      </w:r>
    </w:p>
    <w:p w14:paraId="7D7E52D8"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(j) operational reports, availability reports, performance reports, efficiency reports, degradation reports, maintenance reports, and asset health reports;</w:t>
      </w:r>
    </w:p>
    <w:p w14:paraId="723D2F0A"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(k) procurement plans, supplier evaluations, battery supplier information, technical assessments, vendor analyses, and equipment sourcing strategies;</w:t>
      </w:r>
    </w:p>
    <w:p w14:paraId="3042752A"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(l) acquisition opportunities, investment opportunities, project sale opportunities, development opportunities, and strategic partnership opportunities; and</w:t>
      </w:r>
    </w:p>
    <w:p w14:paraId="0742E812" w14:textId="09048686"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lastRenderedPageBreak/>
        <w:t>(m) any other technical, commercial, financial, operational, environmental, regulatory, storage-related, software-related, project-related, strategic, or proprietary information disclosed in connection with the BESS Project.</w:t>
      </w:r>
    </w:p>
    <w:p w14:paraId="2CCDA361" w14:textId="77777777" w:rsidR="009C733F" w:rsidRPr="009C733F" w:rsidRDefault="009C733F" w:rsidP="009C733F">
      <w:pPr>
        <w:jc w:val="both"/>
        <w:rPr>
          <w:rFonts w:ascii="Times New Roman" w:hAnsi="Times New Roman" w:cs="Times New Roman"/>
          <w:b/>
          <w:bCs/>
          <w:color w:val="156082" w:themeColor="accent1"/>
        </w:rPr>
      </w:pPr>
      <w:r w:rsidRPr="009C733F">
        <w:rPr>
          <w:rFonts w:ascii="Times New Roman" w:hAnsi="Times New Roman" w:cs="Times New Roman"/>
          <w:b/>
          <w:bCs/>
          <w:color w:val="156082" w:themeColor="accent1"/>
        </w:rPr>
        <w:t>E. OPTIONAL INTRODUCED CONTACTS DATASET</w:t>
      </w:r>
    </w:p>
    <w:p w14:paraId="68017EFD"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BESS Developers</w:t>
      </w:r>
    </w:p>
    <w:p w14:paraId="1C71A1B1"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Storage Asset Owners</w:t>
      </w:r>
    </w:p>
    <w:p w14:paraId="4E54C324"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Battery Manufacturers</w:t>
      </w:r>
    </w:p>
    <w:p w14:paraId="24CF0CA1"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Battery Cell Suppliers</w:t>
      </w:r>
    </w:p>
    <w:p w14:paraId="36243A15"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Battery Integrators</w:t>
      </w:r>
    </w:p>
    <w:p w14:paraId="26D4F6F2"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BMS Providers</w:t>
      </w:r>
    </w:p>
    <w:p w14:paraId="5312680C"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EMS Providers</w:t>
      </w:r>
    </w:p>
    <w:p w14:paraId="042E6ECD"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PCS Suppliers</w:t>
      </w:r>
    </w:p>
    <w:p w14:paraId="045D6B2B"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EPC Contractors</w:t>
      </w:r>
    </w:p>
    <w:p w14:paraId="0EE5090C"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O&amp;M Contractors</w:t>
      </w:r>
    </w:p>
    <w:p w14:paraId="0398BC39"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Investors</w:t>
      </w:r>
    </w:p>
    <w:p w14:paraId="1579864A"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Infrastructure Funds</w:t>
      </w:r>
    </w:p>
    <w:p w14:paraId="72218578"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Lenders</w:t>
      </w:r>
    </w:p>
    <w:p w14:paraId="0B0A3C77"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Banks</w:t>
      </w:r>
    </w:p>
    <w:p w14:paraId="22BE5C0D"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Independent Engineers</w:t>
      </w:r>
    </w:p>
    <w:p w14:paraId="7BDE28C0"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Technical Consultants</w:t>
      </w:r>
    </w:p>
    <w:p w14:paraId="14CE3946"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Grid Operators</w:t>
      </w:r>
    </w:p>
    <w:p w14:paraId="4677FF15"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Transmission Utilities</w:t>
      </w:r>
    </w:p>
    <w:p w14:paraId="04819B81"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Government Authorities</w:t>
      </w:r>
    </w:p>
    <w:p w14:paraId="7B37534A" w14:textId="77777777"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Regulatory Authorities</w:t>
      </w:r>
    </w:p>
    <w:p w14:paraId="38885758" w14:textId="31C239E4" w:rsidR="009C733F" w:rsidRPr="009C733F" w:rsidRDefault="009C733F" w:rsidP="009C733F">
      <w:pPr>
        <w:jc w:val="both"/>
        <w:rPr>
          <w:rFonts w:ascii="Times New Roman" w:hAnsi="Times New Roman" w:cs="Times New Roman"/>
          <w:color w:val="156082" w:themeColor="accent1"/>
        </w:rPr>
      </w:pPr>
      <w:r w:rsidRPr="009C733F">
        <w:rPr>
          <w:rFonts w:ascii="Times New Roman" w:hAnsi="Times New Roman" w:cs="Times New Roman"/>
          <w:color w:val="156082" w:themeColor="accent1"/>
        </w:rPr>
        <w:t>Strategic Partners</w:t>
      </w:r>
    </w:p>
    <w:sectPr w:rsidR="009C733F" w:rsidRPr="009C73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26D2B"/>
    <w:multiLevelType w:val="multilevel"/>
    <w:tmpl w:val="C89239E6"/>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A85638D"/>
    <w:multiLevelType w:val="multilevel"/>
    <w:tmpl w:val="E3663C8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25C338A"/>
    <w:multiLevelType w:val="multilevel"/>
    <w:tmpl w:val="CDA2391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5E10E21"/>
    <w:multiLevelType w:val="multilevel"/>
    <w:tmpl w:val="64B0527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1E91B5E"/>
    <w:multiLevelType w:val="multilevel"/>
    <w:tmpl w:val="2E5E54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A8F152A"/>
    <w:multiLevelType w:val="multilevel"/>
    <w:tmpl w:val="3AFAE8B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509176546">
    <w:abstractNumId w:val="4"/>
  </w:num>
  <w:num w:numId="2" w16cid:durableId="1410617010">
    <w:abstractNumId w:val="5"/>
  </w:num>
  <w:num w:numId="3" w16cid:durableId="785081521">
    <w:abstractNumId w:val="3"/>
  </w:num>
  <w:num w:numId="4" w16cid:durableId="367295981">
    <w:abstractNumId w:val="1"/>
  </w:num>
  <w:num w:numId="5" w16cid:durableId="179515989">
    <w:abstractNumId w:val="2"/>
  </w:num>
  <w:num w:numId="6" w16cid:durableId="1469784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33F"/>
    <w:rsid w:val="001D50F3"/>
    <w:rsid w:val="009C7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DE9D"/>
  <w15:chartTrackingRefBased/>
  <w15:docId w15:val="{AF614D93-3D3C-4AC4-9CEE-3775A16A7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33F"/>
    <w:rPr>
      <w:rFonts w:eastAsiaTheme="majorEastAsia" w:cstheme="majorBidi"/>
      <w:color w:val="272727" w:themeColor="text1" w:themeTint="D8"/>
    </w:rPr>
  </w:style>
  <w:style w:type="paragraph" w:styleId="Title">
    <w:name w:val="Title"/>
    <w:basedOn w:val="Normal"/>
    <w:next w:val="Normal"/>
    <w:link w:val="TitleChar"/>
    <w:uiPriority w:val="10"/>
    <w:qFormat/>
    <w:rsid w:val="009C7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33F"/>
    <w:pPr>
      <w:spacing w:before="160"/>
      <w:jc w:val="center"/>
    </w:pPr>
    <w:rPr>
      <w:i/>
      <w:iCs/>
      <w:color w:val="404040" w:themeColor="text1" w:themeTint="BF"/>
    </w:rPr>
  </w:style>
  <w:style w:type="character" w:customStyle="1" w:styleId="QuoteChar">
    <w:name w:val="Quote Char"/>
    <w:basedOn w:val="DefaultParagraphFont"/>
    <w:link w:val="Quote"/>
    <w:uiPriority w:val="29"/>
    <w:rsid w:val="009C733F"/>
    <w:rPr>
      <w:i/>
      <w:iCs/>
      <w:color w:val="404040" w:themeColor="text1" w:themeTint="BF"/>
    </w:rPr>
  </w:style>
  <w:style w:type="paragraph" w:styleId="ListParagraph">
    <w:name w:val="List Paragraph"/>
    <w:basedOn w:val="Normal"/>
    <w:uiPriority w:val="34"/>
    <w:qFormat/>
    <w:rsid w:val="009C733F"/>
    <w:pPr>
      <w:ind w:left="720"/>
      <w:contextualSpacing/>
    </w:pPr>
  </w:style>
  <w:style w:type="character" w:styleId="IntenseEmphasis">
    <w:name w:val="Intense Emphasis"/>
    <w:basedOn w:val="DefaultParagraphFont"/>
    <w:uiPriority w:val="21"/>
    <w:qFormat/>
    <w:rsid w:val="009C733F"/>
    <w:rPr>
      <w:i/>
      <w:iCs/>
      <w:color w:val="0F4761" w:themeColor="accent1" w:themeShade="BF"/>
    </w:rPr>
  </w:style>
  <w:style w:type="paragraph" w:styleId="IntenseQuote">
    <w:name w:val="Intense Quote"/>
    <w:basedOn w:val="Normal"/>
    <w:next w:val="Normal"/>
    <w:link w:val="IntenseQuoteChar"/>
    <w:uiPriority w:val="30"/>
    <w:qFormat/>
    <w:rsid w:val="009C7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33F"/>
    <w:rPr>
      <w:i/>
      <w:iCs/>
      <w:color w:val="0F4761" w:themeColor="accent1" w:themeShade="BF"/>
    </w:rPr>
  </w:style>
  <w:style w:type="character" w:styleId="IntenseReference">
    <w:name w:val="Intense Reference"/>
    <w:basedOn w:val="DefaultParagraphFont"/>
    <w:uiPriority w:val="32"/>
    <w:qFormat/>
    <w:rsid w:val="009C73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808</Words>
  <Characters>4606</Characters>
  <Application>Microsoft Office Word</Application>
  <DocSecurity>0</DocSecurity>
  <Lines>38</Lines>
  <Paragraphs>10</Paragraphs>
  <ScaleCrop>false</ScaleCrop>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2026-06-09T18:18:00Z</dcterms:created>
  <dcterms:modified xsi:type="dcterms:W3CDTF">2026-06-09T18:21:00Z</dcterms:modified>
</cp:coreProperties>
</file>