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B6FAD" w14:textId="77777777" w:rsidR="00F76C82" w:rsidRPr="00F76C82" w:rsidRDefault="00F76C82" w:rsidP="00F76C82">
      <w:pPr>
        <w:jc w:val="center"/>
        <w:rPr>
          <w:rFonts w:ascii="Times New Roman" w:hAnsi="Times New Roman" w:cs="Times New Roman"/>
          <w:b/>
          <w:bCs/>
          <w:color w:val="156082" w:themeColor="accent1"/>
          <w:u w:val="single"/>
        </w:rPr>
      </w:pPr>
      <w:r w:rsidRPr="00F76C82">
        <w:rPr>
          <w:rFonts w:ascii="Times New Roman" w:hAnsi="Times New Roman" w:cs="Times New Roman"/>
          <w:b/>
          <w:bCs/>
          <w:color w:val="156082" w:themeColor="accent1"/>
          <w:u w:val="single"/>
        </w:rPr>
        <w:t>RE-05 – GREEN HYDROGEN DISCUSSIONS</w:t>
      </w:r>
    </w:p>
    <w:p w14:paraId="1D382A53" w14:textId="77777777" w:rsidR="00F76C82" w:rsidRPr="00F76C82" w:rsidRDefault="00F76C82" w:rsidP="00F76C82">
      <w:pPr>
        <w:jc w:val="both"/>
        <w:rPr>
          <w:rFonts w:ascii="Times New Roman" w:hAnsi="Times New Roman" w:cs="Times New Roman"/>
          <w:b/>
          <w:bCs/>
          <w:color w:val="156082" w:themeColor="accent1"/>
        </w:rPr>
      </w:pPr>
      <w:r w:rsidRPr="00F76C82">
        <w:rPr>
          <w:rFonts w:ascii="Times New Roman" w:hAnsi="Times New Roman" w:cs="Times New Roman"/>
          <w:b/>
          <w:bCs/>
          <w:color w:val="156082" w:themeColor="accent1"/>
        </w:rPr>
        <w:t>A. PURPOSE DEFINITION</w:t>
      </w:r>
    </w:p>
    <w:p w14:paraId="6D377BC9" w14:textId="52D44EBC"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"Purpose" means the evaluation, discussion, development, financing, construction, acquisition, operation, maintenance, commercialization, investment, procurement, ownership, transportation, storage, sale, transfer, or potential implementation of green hydrogen projects, green ammonia projects, hydrogen production facilities, hydrogen infrastructure projects, renewable energy-powered hydrogen facilities, or other hydrogen-related opportunities.</w:t>
      </w:r>
    </w:p>
    <w:p w14:paraId="0494C90E" w14:textId="77777777" w:rsidR="00F76C82" w:rsidRPr="00F76C82" w:rsidRDefault="00F76C82" w:rsidP="00F76C82">
      <w:pPr>
        <w:jc w:val="both"/>
        <w:rPr>
          <w:rFonts w:ascii="Times New Roman" w:hAnsi="Times New Roman" w:cs="Times New Roman"/>
          <w:b/>
          <w:bCs/>
          <w:color w:val="156082" w:themeColor="accent1"/>
        </w:rPr>
      </w:pPr>
      <w:r w:rsidRPr="00F76C82">
        <w:rPr>
          <w:rFonts w:ascii="Times New Roman" w:hAnsi="Times New Roman" w:cs="Times New Roman"/>
          <w:b/>
          <w:bCs/>
          <w:color w:val="156082" w:themeColor="accent1"/>
        </w:rPr>
        <w:t>B. RECITAL VARIANT</w:t>
      </w:r>
    </w:p>
    <w:p w14:paraId="5AF1DB73" w14:textId="77777777" w:rsidR="00F76C82" w:rsidRPr="00F76C82" w:rsidRDefault="00F76C82" w:rsidP="00F76C82">
      <w:pPr>
        <w:jc w:val="both"/>
        <w:rPr>
          <w:rFonts w:ascii="Times New Roman" w:hAnsi="Times New Roman" w:cs="Times New Roman"/>
          <w:color w:val="156082" w:themeColor="accent1"/>
        </w:rPr>
      </w:pPr>
      <w:proofErr w:type="gramStart"/>
      <w:r w:rsidRPr="00F76C82">
        <w:rPr>
          <w:rFonts w:ascii="Times New Roman" w:hAnsi="Times New Roman" w:cs="Times New Roman"/>
          <w:color w:val="156082" w:themeColor="accent1"/>
        </w:rPr>
        <w:t>WHEREAS,</w:t>
      </w:r>
      <w:proofErr w:type="gramEnd"/>
      <w:r w:rsidRPr="00F76C82">
        <w:rPr>
          <w:rFonts w:ascii="Times New Roman" w:hAnsi="Times New Roman" w:cs="Times New Roman"/>
          <w:color w:val="156082" w:themeColor="accent1"/>
        </w:rPr>
        <w:t xml:space="preserve"> the Parties desire to evaluate and discuss one or more green hydrogen projects, green ammonia projects, hydrogen production opportunities, renewable energy-powered industrial projects, or related commercial arrangements;</w:t>
      </w:r>
    </w:p>
    <w:p w14:paraId="0B7CC1EB"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WHEREAS, in connection with such discussions, the Parties may disclose and exchange confidential technical, commercial, financial, operational, regulatory, environmental, project-related, and proprietary information;</w:t>
      </w:r>
    </w:p>
    <w:p w14:paraId="35A82E2E" w14:textId="09E20858" w:rsidR="00F76C82" w:rsidRPr="00F76C82" w:rsidRDefault="00F76C82" w:rsidP="00F76C82">
      <w:pPr>
        <w:jc w:val="both"/>
        <w:rPr>
          <w:rFonts w:ascii="Times New Roman" w:hAnsi="Times New Roman" w:cs="Times New Roman"/>
          <w:color w:val="156082" w:themeColor="accent1"/>
        </w:rPr>
      </w:pPr>
      <w:proofErr w:type="gramStart"/>
      <w:r w:rsidRPr="00F76C82">
        <w:rPr>
          <w:rFonts w:ascii="Times New Roman" w:hAnsi="Times New Roman" w:cs="Times New Roman"/>
          <w:color w:val="156082" w:themeColor="accent1"/>
        </w:rPr>
        <w:t>WHEREAS,</w:t>
      </w:r>
      <w:proofErr w:type="gramEnd"/>
      <w:r w:rsidRPr="00F76C82">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100061F9" w14:textId="77777777" w:rsidR="00F76C82" w:rsidRPr="00F76C82" w:rsidRDefault="00F76C82" w:rsidP="00F76C82">
      <w:pPr>
        <w:jc w:val="both"/>
        <w:rPr>
          <w:rFonts w:ascii="Times New Roman" w:hAnsi="Times New Roman" w:cs="Times New Roman"/>
          <w:b/>
          <w:bCs/>
          <w:color w:val="156082" w:themeColor="accent1"/>
        </w:rPr>
      </w:pPr>
      <w:r w:rsidRPr="00F76C82">
        <w:rPr>
          <w:rFonts w:ascii="Times New Roman" w:hAnsi="Times New Roman" w:cs="Times New Roman"/>
          <w:b/>
          <w:bCs/>
          <w:color w:val="156082" w:themeColor="accent1"/>
        </w:rPr>
        <w:t>C. ADDITIONAL DEFINITIONS</w:t>
      </w:r>
    </w:p>
    <w:p w14:paraId="79BB36F7" w14:textId="77777777" w:rsidR="00F76C82" w:rsidRPr="00F76C82" w:rsidRDefault="00F76C82" w:rsidP="00F76C82">
      <w:pPr>
        <w:numPr>
          <w:ilvl w:val="0"/>
          <w:numId w:val="1"/>
        </w:numPr>
        <w:tabs>
          <w:tab w:val="clear" w:pos="360"/>
          <w:tab w:val="num" w:pos="720"/>
        </w:tabs>
        <w:jc w:val="both"/>
        <w:rPr>
          <w:rFonts w:ascii="Times New Roman" w:hAnsi="Times New Roman" w:cs="Times New Roman"/>
          <w:b/>
          <w:bCs/>
          <w:color w:val="156082" w:themeColor="accent1"/>
        </w:rPr>
      </w:pPr>
      <w:r w:rsidRPr="00F76C82">
        <w:rPr>
          <w:rFonts w:ascii="Times New Roman" w:hAnsi="Times New Roman" w:cs="Times New Roman"/>
          <w:b/>
          <w:bCs/>
          <w:color w:val="156082" w:themeColor="accent1"/>
        </w:rPr>
        <w:t>Green Hydrogen Project</w:t>
      </w:r>
    </w:p>
    <w:p w14:paraId="1E3893B3"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"Green Hydrogen Project" means any project involving the production, storage, transportation, distribution, sale, utilization, export, or commercialization of hydrogen produced using renewable energy sources.</w:t>
      </w:r>
    </w:p>
    <w:p w14:paraId="7B86F824" w14:textId="77777777" w:rsidR="00F76C82" w:rsidRPr="00F76C82" w:rsidRDefault="00F76C82" w:rsidP="00F76C82">
      <w:pPr>
        <w:numPr>
          <w:ilvl w:val="0"/>
          <w:numId w:val="2"/>
        </w:numPr>
        <w:tabs>
          <w:tab w:val="clear" w:pos="360"/>
          <w:tab w:val="num" w:pos="720"/>
        </w:tabs>
        <w:jc w:val="both"/>
        <w:rPr>
          <w:rFonts w:ascii="Times New Roman" w:hAnsi="Times New Roman" w:cs="Times New Roman"/>
          <w:b/>
          <w:bCs/>
          <w:color w:val="156082" w:themeColor="accent1"/>
        </w:rPr>
      </w:pPr>
      <w:r w:rsidRPr="00F76C82">
        <w:rPr>
          <w:rFonts w:ascii="Times New Roman" w:hAnsi="Times New Roman" w:cs="Times New Roman"/>
          <w:b/>
          <w:bCs/>
          <w:color w:val="156082" w:themeColor="accent1"/>
        </w:rPr>
        <w:t>Electrolyzer System</w:t>
      </w:r>
    </w:p>
    <w:p w14:paraId="03EA6D2D"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"Electrolyzer System" means any electrolyzer equipment, stacks, balance-of-plant equipment, power systems, water treatment systems, control systems, and associated infrastructure used to produce hydrogen through electrolysis.</w:t>
      </w:r>
    </w:p>
    <w:p w14:paraId="536B00A2" w14:textId="77777777" w:rsidR="00F76C82" w:rsidRPr="00F76C82" w:rsidRDefault="00F76C82" w:rsidP="00F76C82">
      <w:pPr>
        <w:numPr>
          <w:ilvl w:val="0"/>
          <w:numId w:val="3"/>
        </w:numPr>
        <w:tabs>
          <w:tab w:val="clear" w:pos="360"/>
          <w:tab w:val="num" w:pos="720"/>
        </w:tabs>
        <w:jc w:val="both"/>
        <w:rPr>
          <w:rFonts w:ascii="Times New Roman" w:hAnsi="Times New Roman" w:cs="Times New Roman"/>
          <w:b/>
          <w:bCs/>
          <w:color w:val="156082" w:themeColor="accent1"/>
        </w:rPr>
      </w:pPr>
      <w:r w:rsidRPr="00F76C82">
        <w:rPr>
          <w:rFonts w:ascii="Times New Roman" w:hAnsi="Times New Roman" w:cs="Times New Roman"/>
          <w:b/>
          <w:bCs/>
          <w:color w:val="156082" w:themeColor="accent1"/>
        </w:rPr>
        <w:t>Hydrogen Information</w:t>
      </w:r>
    </w:p>
    <w:p w14:paraId="4B0423EA"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"Hydrogen Information" means information relating to hydrogen production, hydrogen purity, hydrogen storage, hydrogen transportation, hydrogen utilization, hydrogen conversion, and hydrogen commercialization activities.</w:t>
      </w:r>
    </w:p>
    <w:p w14:paraId="78E29269" w14:textId="77777777" w:rsidR="00F76C82" w:rsidRPr="00F76C82" w:rsidRDefault="00F76C82" w:rsidP="00F76C82">
      <w:pPr>
        <w:numPr>
          <w:ilvl w:val="0"/>
          <w:numId w:val="4"/>
        </w:numPr>
        <w:tabs>
          <w:tab w:val="clear" w:pos="360"/>
          <w:tab w:val="num" w:pos="720"/>
        </w:tabs>
        <w:jc w:val="both"/>
        <w:rPr>
          <w:rFonts w:ascii="Times New Roman" w:hAnsi="Times New Roman" w:cs="Times New Roman"/>
          <w:b/>
          <w:bCs/>
          <w:color w:val="156082" w:themeColor="accent1"/>
        </w:rPr>
      </w:pPr>
      <w:r w:rsidRPr="00F76C82">
        <w:rPr>
          <w:rFonts w:ascii="Times New Roman" w:hAnsi="Times New Roman" w:cs="Times New Roman"/>
          <w:b/>
          <w:bCs/>
          <w:color w:val="156082" w:themeColor="accent1"/>
        </w:rPr>
        <w:t>Green Ammonia Project</w:t>
      </w:r>
    </w:p>
    <w:p w14:paraId="2717AE26"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"Green Ammonia Project" means any facility, infrastructure, or project involving the production, storage, transportation, export, sale, or commercialization of ammonia produced using green hydrogen.</w:t>
      </w:r>
    </w:p>
    <w:p w14:paraId="52809FC6" w14:textId="77777777" w:rsidR="00F76C82" w:rsidRPr="00F76C82" w:rsidRDefault="00F76C82" w:rsidP="00F76C82">
      <w:pPr>
        <w:numPr>
          <w:ilvl w:val="0"/>
          <w:numId w:val="5"/>
        </w:numPr>
        <w:tabs>
          <w:tab w:val="clear" w:pos="360"/>
          <w:tab w:val="num" w:pos="720"/>
        </w:tabs>
        <w:jc w:val="both"/>
        <w:rPr>
          <w:rFonts w:ascii="Times New Roman" w:hAnsi="Times New Roman" w:cs="Times New Roman"/>
          <w:b/>
          <w:bCs/>
          <w:color w:val="156082" w:themeColor="accent1"/>
        </w:rPr>
      </w:pPr>
      <w:r w:rsidRPr="00F76C82">
        <w:rPr>
          <w:rFonts w:ascii="Times New Roman" w:hAnsi="Times New Roman" w:cs="Times New Roman"/>
          <w:b/>
          <w:bCs/>
          <w:color w:val="156082" w:themeColor="accent1"/>
        </w:rPr>
        <w:t>Offtake Information</w:t>
      </w:r>
    </w:p>
    <w:p w14:paraId="2B7E6312"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lastRenderedPageBreak/>
        <w:t>"Offtake Information" means information relating to hydrogen purchasers, ammonia purchasers, industrial consumers, export customers, supply commitments, purchase arrangements, and commercialization opportunities.</w:t>
      </w:r>
    </w:p>
    <w:p w14:paraId="2AAB71D9" w14:textId="77777777" w:rsidR="00F76C82" w:rsidRPr="00F76C82" w:rsidRDefault="00F76C82" w:rsidP="00F76C82">
      <w:pPr>
        <w:numPr>
          <w:ilvl w:val="0"/>
          <w:numId w:val="6"/>
        </w:numPr>
        <w:tabs>
          <w:tab w:val="clear" w:pos="360"/>
          <w:tab w:val="num" w:pos="720"/>
        </w:tabs>
        <w:jc w:val="both"/>
        <w:rPr>
          <w:rFonts w:ascii="Times New Roman" w:hAnsi="Times New Roman" w:cs="Times New Roman"/>
          <w:b/>
          <w:bCs/>
          <w:color w:val="156082" w:themeColor="accent1"/>
        </w:rPr>
      </w:pPr>
      <w:r w:rsidRPr="00F76C82">
        <w:rPr>
          <w:rFonts w:ascii="Times New Roman" w:hAnsi="Times New Roman" w:cs="Times New Roman"/>
          <w:b/>
          <w:bCs/>
          <w:color w:val="156082" w:themeColor="accent1"/>
        </w:rPr>
        <w:t>Project Documents</w:t>
      </w:r>
    </w:p>
    <w:p w14:paraId="147F869F" w14:textId="19C4B773"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"Project Documents" means permits, approvals, licenses, EPC contracts, O&amp;M contracts, financing documents, land agreements, hydrogen supply agreements, ammonia supply agreements, transportation agreements, storage agreements, and related project documentation.</w:t>
      </w:r>
    </w:p>
    <w:p w14:paraId="7B5C450B" w14:textId="77777777" w:rsidR="00F76C82" w:rsidRPr="00F76C82" w:rsidRDefault="00F76C82" w:rsidP="00F76C82">
      <w:pPr>
        <w:jc w:val="both"/>
        <w:rPr>
          <w:rFonts w:ascii="Times New Roman" w:hAnsi="Times New Roman" w:cs="Times New Roman"/>
          <w:b/>
          <w:bCs/>
          <w:color w:val="156082" w:themeColor="accent1"/>
        </w:rPr>
      </w:pPr>
      <w:r w:rsidRPr="00F76C82">
        <w:rPr>
          <w:rFonts w:ascii="Times New Roman" w:hAnsi="Times New Roman" w:cs="Times New Roman"/>
          <w:b/>
          <w:bCs/>
          <w:color w:val="156082" w:themeColor="accent1"/>
        </w:rPr>
        <w:t>D. CONFIDENTIAL INFORMATION EXPANSION</w:t>
      </w:r>
    </w:p>
    <w:p w14:paraId="1DD1BB8C"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Without limitation, Confidential Information includes:</w:t>
      </w:r>
    </w:p>
    <w:p w14:paraId="1214A9C7"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(a) hydrogen production studies, hydrogen yield assessments, hydrogen process designs, production forecasts, efficiency analyses, and feasibility studies;</w:t>
      </w:r>
    </w:p>
    <w:p w14:paraId="3DC1E872"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(b) electrolyzer specifications, stack designs, process engineering information, technical specifications, performance guarantees, and technology assessments;</w:t>
      </w:r>
    </w:p>
    <w:p w14:paraId="52FF3D3F"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(c) renewable energy integration studies, power supply studies, energy consumption analyses, generation forecasts, and energy optimization strategies;</w:t>
      </w:r>
    </w:p>
    <w:p w14:paraId="24DD7FF1"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(d) hydrogen storage information, storage technologies, compression systems, liquefaction systems, storage capacities, and storage performance analyses;</w:t>
      </w:r>
    </w:p>
    <w:p w14:paraId="60820329"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(e) hydrogen transportation information, pipeline designs, logistics plans, transportation methodologies, export infrastructure information, and distribution strategies;</w:t>
      </w:r>
    </w:p>
    <w:p w14:paraId="76C02817"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(f) green ammonia production information, ammonia conversion processes, ammonia storage systems, ammonia transportation information, and ammonia commercialization plans;</w:t>
      </w:r>
    </w:p>
    <w:p w14:paraId="44CEDF49"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(g) project layouts, engineering designs, process flow diagrams, technical specifications, infrastructure plans, and implementation strategies;</w:t>
      </w:r>
    </w:p>
    <w:p w14:paraId="4F58C0C5"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(h) project financial models, hydrogen pricing models, ammonia pricing models, revenue forecasts, financing plans, debt structures, and investment analyses;</w:t>
      </w:r>
    </w:p>
    <w:p w14:paraId="1AE829D3"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w:t>
      </w:r>
      <w:proofErr w:type="spellStart"/>
      <w:r w:rsidRPr="00F76C82">
        <w:rPr>
          <w:rFonts w:ascii="Times New Roman" w:hAnsi="Times New Roman" w:cs="Times New Roman"/>
          <w:color w:val="156082" w:themeColor="accent1"/>
        </w:rPr>
        <w:t>i</w:t>
      </w:r>
      <w:proofErr w:type="spellEnd"/>
      <w:r w:rsidRPr="00F76C82">
        <w:rPr>
          <w:rFonts w:ascii="Times New Roman" w:hAnsi="Times New Roman" w:cs="Times New Roman"/>
          <w:color w:val="156082" w:themeColor="accent1"/>
        </w:rPr>
        <w:t>) offtake arrangements, industrial supply arrangements, export arrangements, commercialization strategies, customer information, and purchaser information;</w:t>
      </w:r>
    </w:p>
    <w:p w14:paraId="5799387A"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(j) environmental studies, water studies, regulatory approvals, permits, licenses, government incentives, carbon reduction assessments, and compliance documentation;</w:t>
      </w:r>
    </w:p>
    <w:p w14:paraId="2C187C55"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(k) carbon credit opportunities, sustainability initiatives, ESG analyses, emissions reduction information, and decarbonization strategies;</w:t>
      </w:r>
    </w:p>
    <w:p w14:paraId="4266A4D1"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(l) acquisition opportunities, investment opportunities, project sale opportunities, technology licensing opportunities, and strategic partnership opportunities; and</w:t>
      </w:r>
    </w:p>
    <w:p w14:paraId="4D87BC48" w14:textId="69F2E3C3"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lastRenderedPageBreak/>
        <w:t>(m) any other technical, commercial, financial, operational, environmental, regulatory, hydrogen-related, ammonia-related, renewable-energy-related, project-related, strategic, or proprietary information disclosed in connection with the Green Hydrogen Project.</w:t>
      </w:r>
    </w:p>
    <w:p w14:paraId="6B4EEEF2" w14:textId="77777777" w:rsidR="00F76C82" w:rsidRPr="00F76C82" w:rsidRDefault="00F76C82" w:rsidP="00F76C82">
      <w:pPr>
        <w:jc w:val="both"/>
        <w:rPr>
          <w:rFonts w:ascii="Times New Roman" w:hAnsi="Times New Roman" w:cs="Times New Roman"/>
          <w:b/>
          <w:bCs/>
          <w:color w:val="156082" w:themeColor="accent1"/>
        </w:rPr>
      </w:pPr>
      <w:r w:rsidRPr="00F76C82">
        <w:rPr>
          <w:rFonts w:ascii="Times New Roman" w:hAnsi="Times New Roman" w:cs="Times New Roman"/>
          <w:b/>
          <w:bCs/>
          <w:color w:val="156082" w:themeColor="accent1"/>
        </w:rPr>
        <w:t>E. OPTIONAL INTRODUCED CONTACTS DATASET</w:t>
      </w:r>
    </w:p>
    <w:p w14:paraId="4E319D1E"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Green Hydrogen Developers</w:t>
      </w:r>
    </w:p>
    <w:p w14:paraId="6065749E"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Green Ammonia Developers</w:t>
      </w:r>
    </w:p>
    <w:p w14:paraId="2F37C0BE"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Electrolyzer Manufacturers</w:t>
      </w:r>
    </w:p>
    <w:p w14:paraId="08EA0FB8"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Technology Providers</w:t>
      </w:r>
    </w:p>
    <w:p w14:paraId="1669BF64"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 xml:space="preserve">Industrial </w:t>
      </w:r>
      <w:proofErr w:type="spellStart"/>
      <w:r w:rsidRPr="00F76C82">
        <w:rPr>
          <w:rFonts w:ascii="Times New Roman" w:hAnsi="Times New Roman" w:cs="Times New Roman"/>
          <w:color w:val="156082" w:themeColor="accent1"/>
        </w:rPr>
        <w:t>Offtakers</w:t>
      </w:r>
      <w:proofErr w:type="spellEnd"/>
    </w:p>
    <w:p w14:paraId="71E025FC"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Hydrogen Buyers</w:t>
      </w:r>
    </w:p>
    <w:p w14:paraId="3F1E1967"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Ammonia Buyers</w:t>
      </w:r>
    </w:p>
    <w:p w14:paraId="00C14AC8"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Export Customers</w:t>
      </w:r>
    </w:p>
    <w:p w14:paraId="125E7D47"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EPC Contractors</w:t>
      </w:r>
    </w:p>
    <w:p w14:paraId="4DF8BD1F"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O&amp;M Contractors</w:t>
      </w:r>
    </w:p>
    <w:p w14:paraId="5A7C39AC"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Investors</w:t>
      </w:r>
    </w:p>
    <w:p w14:paraId="6ABD50C0"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Infrastructure Funds</w:t>
      </w:r>
    </w:p>
    <w:p w14:paraId="7BCFCAB6"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Lenders</w:t>
      </w:r>
    </w:p>
    <w:p w14:paraId="6DA096B5"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Banks</w:t>
      </w:r>
    </w:p>
    <w:p w14:paraId="44C2A1DA"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Government Authorities</w:t>
      </w:r>
    </w:p>
    <w:p w14:paraId="79C80B06"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Policy Makers</w:t>
      </w:r>
    </w:p>
    <w:p w14:paraId="0A5BD56D"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Port Authorities</w:t>
      </w:r>
    </w:p>
    <w:p w14:paraId="00176DF9"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Transmission Utilities</w:t>
      </w:r>
    </w:p>
    <w:p w14:paraId="1DE2A5DA"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Independent Engineers</w:t>
      </w:r>
    </w:p>
    <w:p w14:paraId="1B015F1C"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Technical Consultants</w:t>
      </w:r>
    </w:p>
    <w:p w14:paraId="1EAA7E28"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Regulatory Authorities</w:t>
      </w:r>
    </w:p>
    <w:p w14:paraId="0DB674DD" w14:textId="77777777" w:rsidR="00F76C82" w:rsidRPr="00F76C82" w:rsidRDefault="00F76C82" w:rsidP="00F76C82">
      <w:pPr>
        <w:jc w:val="both"/>
        <w:rPr>
          <w:rFonts w:ascii="Times New Roman" w:hAnsi="Times New Roman" w:cs="Times New Roman"/>
          <w:color w:val="156082" w:themeColor="accent1"/>
        </w:rPr>
      </w:pPr>
      <w:r w:rsidRPr="00F76C82">
        <w:rPr>
          <w:rFonts w:ascii="Times New Roman" w:hAnsi="Times New Roman" w:cs="Times New Roman"/>
          <w:color w:val="156082" w:themeColor="accent1"/>
        </w:rPr>
        <w:t>Strategic Partners</w:t>
      </w:r>
    </w:p>
    <w:p w14:paraId="3D4EA5F3" w14:textId="77777777" w:rsidR="00F76C82" w:rsidRPr="00F76C82" w:rsidRDefault="00F76C82" w:rsidP="00F76C82">
      <w:pPr>
        <w:jc w:val="both"/>
        <w:rPr>
          <w:rFonts w:ascii="Times New Roman" w:hAnsi="Times New Roman" w:cs="Times New Roman"/>
          <w:color w:val="156082" w:themeColor="accent1"/>
        </w:rPr>
      </w:pPr>
    </w:p>
    <w:sectPr w:rsidR="00F76C82" w:rsidRPr="00F76C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D4642"/>
    <w:multiLevelType w:val="multilevel"/>
    <w:tmpl w:val="3748185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35E70E18"/>
    <w:multiLevelType w:val="multilevel"/>
    <w:tmpl w:val="C04EE21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A2C6AF1"/>
    <w:multiLevelType w:val="multilevel"/>
    <w:tmpl w:val="FDA407D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3543414"/>
    <w:multiLevelType w:val="multilevel"/>
    <w:tmpl w:val="41D4BA34"/>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4D75513E"/>
    <w:multiLevelType w:val="multilevel"/>
    <w:tmpl w:val="0720C32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F525554"/>
    <w:multiLevelType w:val="multilevel"/>
    <w:tmpl w:val="5B60D7F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021084586">
    <w:abstractNumId w:val="5"/>
  </w:num>
  <w:num w:numId="2" w16cid:durableId="49348772">
    <w:abstractNumId w:val="2"/>
  </w:num>
  <w:num w:numId="3" w16cid:durableId="53282639">
    <w:abstractNumId w:val="4"/>
  </w:num>
  <w:num w:numId="4" w16cid:durableId="378826290">
    <w:abstractNumId w:val="0"/>
  </w:num>
  <w:num w:numId="5" w16cid:durableId="102726762">
    <w:abstractNumId w:val="3"/>
  </w:num>
  <w:num w:numId="6" w16cid:durableId="2020960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C82"/>
    <w:rsid w:val="001D50F3"/>
    <w:rsid w:val="00F76C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8007C"/>
  <w15:chartTrackingRefBased/>
  <w15:docId w15:val="{5626F9A7-E881-4EE5-902C-AAC68842A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C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C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C82"/>
    <w:rPr>
      <w:rFonts w:eastAsiaTheme="majorEastAsia" w:cstheme="majorBidi"/>
      <w:color w:val="272727" w:themeColor="text1" w:themeTint="D8"/>
    </w:rPr>
  </w:style>
  <w:style w:type="paragraph" w:styleId="Title">
    <w:name w:val="Title"/>
    <w:basedOn w:val="Normal"/>
    <w:next w:val="Normal"/>
    <w:link w:val="TitleChar"/>
    <w:uiPriority w:val="10"/>
    <w:qFormat/>
    <w:rsid w:val="00F76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C82"/>
    <w:pPr>
      <w:spacing w:before="160"/>
      <w:jc w:val="center"/>
    </w:pPr>
    <w:rPr>
      <w:i/>
      <w:iCs/>
      <w:color w:val="404040" w:themeColor="text1" w:themeTint="BF"/>
    </w:rPr>
  </w:style>
  <w:style w:type="character" w:customStyle="1" w:styleId="QuoteChar">
    <w:name w:val="Quote Char"/>
    <w:basedOn w:val="DefaultParagraphFont"/>
    <w:link w:val="Quote"/>
    <w:uiPriority w:val="29"/>
    <w:rsid w:val="00F76C82"/>
    <w:rPr>
      <w:i/>
      <w:iCs/>
      <w:color w:val="404040" w:themeColor="text1" w:themeTint="BF"/>
    </w:rPr>
  </w:style>
  <w:style w:type="paragraph" w:styleId="ListParagraph">
    <w:name w:val="List Paragraph"/>
    <w:basedOn w:val="Normal"/>
    <w:uiPriority w:val="34"/>
    <w:qFormat/>
    <w:rsid w:val="00F76C82"/>
    <w:pPr>
      <w:ind w:left="720"/>
      <w:contextualSpacing/>
    </w:pPr>
  </w:style>
  <w:style w:type="character" w:styleId="IntenseEmphasis">
    <w:name w:val="Intense Emphasis"/>
    <w:basedOn w:val="DefaultParagraphFont"/>
    <w:uiPriority w:val="21"/>
    <w:qFormat/>
    <w:rsid w:val="00F76C82"/>
    <w:rPr>
      <w:i/>
      <w:iCs/>
      <w:color w:val="0F4761" w:themeColor="accent1" w:themeShade="BF"/>
    </w:rPr>
  </w:style>
  <w:style w:type="paragraph" w:styleId="IntenseQuote">
    <w:name w:val="Intense Quote"/>
    <w:basedOn w:val="Normal"/>
    <w:next w:val="Normal"/>
    <w:link w:val="IntenseQuoteChar"/>
    <w:uiPriority w:val="30"/>
    <w:qFormat/>
    <w:rsid w:val="00F76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C82"/>
    <w:rPr>
      <w:i/>
      <w:iCs/>
      <w:color w:val="0F4761" w:themeColor="accent1" w:themeShade="BF"/>
    </w:rPr>
  </w:style>
  <w:style w:type="character" w:styleId="IntenseReference">
    <w:name w:val="Intense Reference"/>
    <w:basedOn w:val="DefaultParagraphFont"/>
    <w:uiPriority w:val="32"/>
    <w:qFormat/>
    <w:rsid w:val="00F76C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790</Words>
  <Characters>4505</Characters>
  <Application>Microsoft Office Word</Application>
  <DocSecurity>0</DocSecurity>
  <Lines>37</Lines>
  <Paragraphs>10</Paragraphs>
  <ScaleCrop>false</ScaleCrop>
  <Company/>
  <LinksUpToDate>false</LinksUpToDate>
  <CharactersWithSpaces>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2026-06-09T18:21:00Z</dcterms:created>
  <dcterms:modified xsi:type="dcterms:W3CDTF">2026-06-09T18:23:00Z</dcterms:modified>
</cp:coreProperties>
</file>