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8C17E" w14:textId="77777777" w:rsidR="005A4229" w:rsidRPr="005A4229" w:rsidRDefault="005A4229" w:rsidP="005A4229">
      <w:pPr>
        <w:jc w:val="center"/>
        <w:rPr>
          <w:rFonts w:ascii="Times New Roman" w:hAnsi="Times New Roman" w:cs="Times New Roman"/>
          <w:b/>
          <w:bCs/>
          <w:color w:val="156082" w:themeColor="accent1"/>
          <w:u w:val="single"/>
        </w:rPr>
      </w:pPr>
      <w:r w:rsidRPr="005A4229">
        <w:rPr>
          <w:rFonts w:ascii="Times New Roman" w:hAnsi="Times New Roman" w:cs="Times New Roman"/>
          <w:b/>
          <w:bCs/>
          <w:color w:val="156082" w:themeColor="accent1"/>
          <w:u w:val="single"/>
        </w:rPr>
        <w:t>RE-09 – ASSET MANAGEMENT DISCUSSIONS</w:t>
      </w:r>
    </w:p>
    <w:p w14:paraId="3E83C79B" w14:textId="77777777" w:rsidR="005A4229" w:rsidRPr="005A4229" w:rsidRDefault="005A4229" w:rsidP="005A4229">
      <w:pPr>
        <w:jc w:val="both"/>
        <w:rPr>
          <w:rFonts w:ascii="Times New Roman" w:hAnsi="Times New Roman" w:cs="Times New Roman"/>
          <w:b/>
          <w:bCs/>
          <w:color w:val="156082" w:themeColor="accent1"/>
        </w:rPr>
      </w:pPr>
      <w:r w:rsidRPr="005A4229">
        <w:rPr>
          <w:rFonts w:ascii="Times New Roman" w:hAnsi="Times New Roman" w:cs="Times New Roman"/>
          <w:b/>
          <w:bCs/>
          <w:color w:val="156082" w:themeColor="accent1"/>
        </w:rPr>
        <w:t>A. PURPOSE DEFINITION</w:t>
      </w:r>
    </w:p>
    <w:p w14:paraId="27F8A3F7" w14:textId="5D4330F4"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"Purpose" means the evaluation, discussion, negotiation, structuring, provision, procurement, management, optimization, monitoring, reporting, financing, refinancing, acquisition, sale, or potential engagement of asset management services relating to one or more renewable energy assets, renewable energy portfolios, energy storage assets, hydrogen assets, or associated infrastructure.</w:t>
      </w:r>
    </w:p>
    <w:p w14:paraId="08B700A4" w14:textId="77777777" w:rsidR="005A4229" w:rsidRPr="005A4229" w:rsidRDefault="005A4229" w:rsidP="005A4229">
      <w:pPr>
        <w:jc w:val="both"/>
        <w:rPr>
          <w:rFonts w:ascii="Times New Roman" w:hAnsi="Times New Roman" w:cs="Times New Roman"/>
          <w:b/>
          <w:bCs/>
          <w:color w:val="156082" w:themeColor="accent1"/>
        </w:rPr>
      </w:pPr>
      <w:r w:rsidRPr="005A4229">
        <w:rPr>
          <w:rFonts w:ascii="Times New Roman" w:hAnsi="Times New Roman" w:cs="Times New Roman"/>
          <w:b/>
          <w:bCs/>
          <w:color w:val="156082" w:themeColor="accent1"/>
        </w:rPr>
        <w:t>B. RECITAL VARIANT</w:t>
      </w:r>
    </w:p>
    <w:p w14:paraId="6FA0591C" w14:textId="77777777" w:rsidR="005A4229" w:rsidRPr="005A4229" w:rsidRDefault="005A4229" w:rsidP="005A4229">
      <w:pPr>
        <w:jc w:val="both"/>
        <w:rPr>
          <w:rFonts w:ascii="Times New Roman" w:hAnsi="Times New Roman" w:cs="Times New Roman"/>
          <w:color w:val="156082" w:themeColor="accent1"/>
        </w:rPr>
      </w:pPr>
      <w:proofErr w:type="gramStart"/>
      <w:r w:rsidRPr="005A4229">
        <w:rPr>
          <w:rFonts w:ascii="Times New Roman" w:hAnsi="Times New Roman" w:cs="Times New Roman"/>
          <w:color w:val="156082" w:themeColor="accent1"/>
        </w:rPr>
        <w:t>WHEREAS,</w:t>
      </w:r>
      <w:proofErr w:type="gramEnd"/>
      <w:r w:rsidRPr="005A4229">
        <w:rPr>
          <w:rFonts w:ascii="Times New Roman" w:hAnsi="Times New Roman" w:cs="Times New Roman"/>
          <w:color w:val="156082" w:themeColor="accent1"/>
        </w:rPr>
        <w:t xml:space="preserve"> the Parties desire to evaluate and discuss a potential asset management arrangement, portfolio management engagement, performance optimization initiative, investor reporting engagement, refinancing opportunity, or related commercial relationship;</w:t>
      </w:r>
    </w:p>
    <w:p w14:paraId="75877696"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WHEREAS, in connection with such discussions, evaluations, assessments, reporting activities, and negotiations, the Parties may disclose and exchange confidential technical, commercial, financial, operational, investment-related, asset-related, and proprietary information;</w:t>
      </w:r>
    </w:p>
    <w:p w14:paraId="0F35EFB0" w14:textId="7AA57CD0" w:rsidR="005A4229" w:rsidRPr="005A4229" w:rsidRDefault="005A4229" w:rsidP="005A4229">
      <w:pPr>
        <w:jc w:val="both"/>
        <w:rPr>
          <w:rFonts w:ascii="Times New Roman" w:hAnsi="Times New Roman" w:cs="Times New Roman"/>
          <w:color w:val="156082" w:themeColor="accent1"/>
        </w:rPr>
      </w:pPr>
      <w:proofErr w:type="gramStart"/>
      <w:r w:rsidRPr="005A4229">
        <w:rPr>
          <w:rFonts w:ascii="Times New Roman" w:hAnsi="Times New Roman" w:cs="Times New Roman"/>
          <w:color w:val="156082" w:themeColor="accent1"/>
        </w:rPr>
        <w:t>WHEREAS,</w:t>
      </w:r>
      <w:proofErr w:type="gramEnd"/>
      <w:r w:rsidRPr="005A4229">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2338FCD2" w14:textId="77777777" w:rsidR="005A4229" w:rsidRPr="005A4229" w:rsidRDefault="005A4229" w:rsidP="005A4229">
      <w:pPr>
        <w:jc w:val="both"/>
        <w:rPr>
          <w:rFonts w:ascii="Times New Roman" w:hAnsi="Times New Roman" w:cs="Times New Roman"/>
          <w:b/>
          <w:bCs/>
          <w:color w:val="156082" w:themeColor="accent1"/>
        </w:rPr>
      </w:pPr>
      <w:r w:rsidRPr="005A4229">
        <w:rPr>
          <w:rFonts w:ascii="Times New Roman" w:hAnsi="Times New Roman" w:cs="Times New Roman"/>
          <w:b/>
          <w:bCs/>
          <w:color w:val="156082" w:themeColor="accent1"/>
        </w:rPr>
        <w:t>C. ADDITIONAL DEFINITIONS</w:t>
      </w:r>
    </w:p>
    <w:p w14:paraId="5C47BB83" w14:textId="77777777" w:rsidR="005A4229" w:rsidRPr="005A4229" w:rsidRDefault="005A4229" w:rsidP="005A4229">
      <w:pPr>
        <w:numPr>
          <w:ilvl w:val="0"/>
          <w:numId w:val="1"/>
        </w:numPr>
        <w:tabs>
          <w:tab w:val="clear" w:pos="360"/>
          <w:tab w:val="num" w:pos="720"/>
        </w:tabs>
        <w:jc w:val="both"/>
        <w:rPr>
          <w:rFonts w:ascii="Times New Roman" w:hAnsi="Times New Roman" w:cs="Times New Roman"/>
          <w:b/>
          <w:bCs/>
          <w:color w:val="156082" w:themeColor="accent1"/>
        </w:rPr>
      </w:pPr>
      <w:r w:rsidRPr="005A4229">
        <w:rPr>
          <w:rFonts w:ascii="Times New Roman" w:hAnsi="Times New Roman" w:cs="Times New Roman"/>
          <w:b/>
          <w:bCs/>
          <w:color w:val="156082" w:themeColor="accent1"/>
        </w:rPr>
        <w:t>Asset Management Services</w:t>
      </w:r>
    </w:p>
    <w:p w14:paraId="46F16569"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"Asset Management Services" means services relating to commercial management, financial management, performance monitoring, contract management, stakeholder management, portfolio management, refinancing support, reporting, optimization, and value enhancement of renewable energy assets.</w:t>
      </w:r>
    </w:p>
    <w:p w14:paraId="35CC384C" w14:textId="77777777" w:rsidR="005A4229" w:rsidRPr="005A4229" w:rsidRDefault="005A4229" w:rsidP="005A4229">
      <w:pPr>
        <w:numPr>
          <w:ilvl w:val="0"/>
          <w:numId w:val="2"/>
        </w:numPr>
        <w:tabs>
          <w:tab w:val="clear" w:pos="360"/>
          <w:tab w:val="num" w:pos="720"/>
        </w:tabs>
        <w:jc w:val="both"/>
        <w:rPr>
          <w:rFonts w:ascii="Times New Roman" w:hAnsi="Times New Roman" w:cs="Times New Roman"/>
          <w:b/>
          <w:bCs/>
          <w:color w:val="156082" w:themeColor="accent1"/>
        </w:rPr>
      </w:pPr>
      <w:r w:rsidRPr="005A4229">
        <w:rPr>
          <w:rFonts w:ascii="Times New Roman" w:hAnsi="Times New Roman" w:cs="Times New Roman"/>
          <w:b/>
          <w:bCs/>
          <w:color w:val="156082" w:themeColor="accent1"/>
        </w:rPr>
        <w:t>Renewable Energy Asset</w:t>
      </w:r>
    </w:p>
    <w:p w14:paraId="76989C90"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"Renewable Energy Asset" means any solar project, wind project, hybrid project, BESS project, green hydrogen facility, transmission asset, substation, renewable infrastructure asset, or related project.</w:t>
      </w:r>
    </w:p>
    <w:p w14:paraId="57BB422A" w14:textId="77777777" w:rsidR="005A4229" w:rsidRPr="005A4229" w:rsidRDefault="005A4229" w:rsidP="005A4229">
      <w:pPr>
        <w:numPr>
          <w:ilvl w:val="0"/>
          <w:numId w:val="3"/>
        </w:numPr>
        <w:tabs>
          <w:tab w:val="clear" w:pos="360"/>
          <w:tab w:val="num" w:pos="720"/>
        </w:tabs>
        <w:jc w:val="both"/>
        <w:rPr>
          <w:rFonts w:ascii="Times New Roman" w:hAnsi="Times New Roman" w:cs="Times New Roman"/>
          <w:b/>
          <w:bCs/>
          <w:color w:val="156082" w:themeColor="accent1"/>
        </w:rPr>
      </w:pPr>
      <w:r w:rsidRPr="005A4229">
        <w:rPr>
          <w:rFonts w:ascii="Times New Roman" w:hAnsi="Times New Roman" w:cs="Times New Roman"/>
          <w:b/>
          <w:bCs/>
          <w:color w:val="156082" w:themeColor="accent1"/>
        </w:rPr>
        <w:t>Asset Portfolio</w:t>
      </w:r>
    </w:p>
    <w:p w14:paraId="45E616DB"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"Asset Portfolio" means a collection of renewable energy assets owned, managed, operated, financed, or controlled by a Party.</w:t>
      </w:r>
    </w:p>
    <w:p w14:paraId="2707A1FB" w14:textId="77777777" w:rsidR="005A4229" w:rsidRPr="005A4229" w:rsidRDefault="005A4229" w:rsidP="005A4229">
      <w:pPr>
        <w:numPr>
          <w:ilvl w:val="0"/>
          <w:numId w:val="4"/>
        </w:numPr>
        <w:tabs>
          <w:tab w:val="clear" w:pos="360"/>
          <w:tab w:val="num" w:pos="720"/>
        </w:tabs>
        <w:jc w:val="both"/>
        <w:rPr>
          <w:rFonts w:ascii="Times New Roman" w:hAnsi="Times New Roman" w:cs="Times New Roman"/>
          <w:b/>
          <w:bCs/>
          <w:color w:val="156082" w:themeColor="accent1"/>
        </w:rPr>
      </w:pPr>
      <w:r w:rsidRPr="005A4229">
        <w:rPr>
          <w:rFonts w:ascii="Times New Roman" w:hAnsi="Times New Roman" w:cs="Times New Roman"/>
          <w:b/>
          <w:bCs/>
          <w:color w:val="156082" w:themeColor="accent1"/>
        </w:rPr>
        <w:t>Asset Performance Information</w:t>
      </w:r>
    </w:p>
    <w:p w14:paraId="6ADDEC87"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"Asset Performance Information" means information relating to energy generation, availability, reliability, revenue performance, operational performance, contractual performance, and financial performance of an Asset.</w:t>
      </w:r>
    </w:p>
    <w:p w14:paraId="5EC7E8C8" w14:textId="77777777" w:rsidR="005A4229" w:rsidRPr="005A4229" w:rsidRDefault="005A4229" w:rsidP="005A4229">
      <w:pPr>
        <w:numPr>
          <w:ilvl w:val="0"/>
          <w:numId w:val="5"/>
        </w:numPr>
        <w:tabs>
          <w:tab w:val="clear" w:pos="360"/>
          <w:tab w:val="num" w:pos="720"/>
        </w:tabs>
        <w:jc w:val="both"/>
        <w:rPr>
          <w:rFonts w:ascii="Times New Roman" w:hAnsi="Times New Roman" w:cs="Times New Roman"/>
          <w:b/>
          <w:bCs/>
          <w:color w:val="156082" w:themeColor="accent1"/>
        </w:rPr>
      </w:pPr>
      <w:r w:rsidRPr="005A4229">
        <w:rPr>
          <w:rFonts w:ascii="Times New Roman" w:hAnsi="Times New Roman" w:cs="Times New Roman"/>
          <w:b/>
          <w:bCs/>
          <w:color w:val="156082" w:themeColor="accent1"/>
        </w:rPr>
        <w:t>Investor Information</w:t>
      </w:r>
    </w:p>
    <w:p w14:paraId="363A36AB"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lastRenderedPageBreak/>
        <w:t>"Investor Information" means information relating to investors, shareholders, lenders, investment committees, financing arrangements, reporting requirements, and investment performance.</w:t>
      </w:r>
    </w:p>
    <w:p w14:paraId="72501B2E" w14:textId="77777777" w:rsidR="005A4229" w:rsidRPr="005A4229" w:rsidRDefault="005A4229" w:rsidP="005A4229">
      <w:pPr>
        <w:numPr>
          <w:ilvl w:val="0"/>
          <w:numId w:val="6"/>
        </w:numPr>
        <w:tabs>
          <w:tab w:val="clear" w:pos="360"/>
          <w:tab w:val="num" w:pos="720"/>
        </w:tabs>
        <w:jc w:val="both"/>
        <w:rPr>
          <w:rFonts w:ascii="Times New Roman" w:hAnsi="Times New Roman" w:cs="Times New Roman"/>
          <w:b/>
          <w:bCs/>
          <w:color w:val="156082" w:themeColor="accent1"/>
        </w:rPr>
      </w:pPr>
      <w:r w:rsidRPr="005A4229">
        <w:rPr>
          <w:rFonts w:ascii="Times New Roman" w:hAnsi="Times New Roman" w:cs="Times New Roman"/>
          <w:b/>
          <w:bCs/>
          <w:color w:val="156082" w:themeColor="accent1"/>
        </w:rPr>
        <w:t>Portfolio Information</w:t>
      </w:r>
    </w:p>
    <w:p w14:paraId="6CC5C465" w14:textId="7DDA6EE5"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"Portfolio Information" means information relating to portfolio performance, portfolio strategy, portfolio optimization, portfolio valuation, portfolio acquisitions, portfolio disposals, and portfolio management activities.</w:t>
      </w:r>
    </w:p>
    <w:p w14:paraId="7A0C3BFE" w14:textId="77777777" w:rsidR="005A4229" w:rsidRPr="005A4229" w:rsidRDefault="005A4229" w:rsidP="005A4229">
      <w:pPr>
        <w:jc w:val="both"/>
        <w:rPr>
          <w:rFonts w:ascii="Times New Roman" w:hAnsi="Times New Roman" w:cs="Times New Roman"/>
          <w:b/>
          <w:bCs/>
          <w:color w:val="156082" w:themeColor="accent1"/>
        </w:rPr>
      </w:pPr>
      <w:r w:rsidRPr="005A4229">
        <w:rPr>
          <w:rFonts w:ascii="Times New Roman" w:hAnsi="Times New Roman" w:cs="Times New Roman"/>
          <w:b/>
          <w:bCs/>
          <w:color w:val="156082" w:themeColor="accent1"/>
        </w:rPr>
        <w:t>D. CONFIDENTIAL INFORMATION EXPANSION</w:t>
      </w:r>
    </w:p>
    <w:p w14:paraId="42666F4B"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Without limitation, Confidential Information includes:</w:t>
      </w:r>
    </w:p>
    <w:p w14:paraId="6EC85900"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(a) asset performance reports, portfolio performance reports, generation reports, revenue reports, availability reports, and operational performance analyses;</w:t>
      </w:r>
    </w:p>
    <w:p w14:paraId="170B3D27"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(b) financial models, project economics, revenue forecasts, cash flow projections, refinancing models, valuation models, and investment analyses;</w:t>
      </w:r>
    </w:p>
    <w:p w14:paraId="2535C73A"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(c) investor reports, lender reports, board reports, management reports, portfolio reviews, and performance assessments;</w:t>
      </w:r>
    </w:p>
    <w:p w14:paraId="1B28CF8B"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(d) power purchase agreements, open access arrangements, captive structures, O&amp;M agreements, EPC agreements, land agreements, and project contracts;</w:t>
      </w:r>
    </w:p>
    <w:p w14:paraId="07AEC850"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(e) portfolio acquisition opportunities, portfolio sale opportunities, refinancing opportunities, restructuring opportunities, and strategic investment opportunities;</w:t>
      </w:r>
    </w:p>
    <w:p w14:paraId="57475D1C"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(f) project budgets, operational budgets, financial forecasts, business plans, asset optimization plans, and value enhancement strategies;</w:t>
      </w:r>
    </w:p>
    <w:p w14:paraId="67CBCFEA"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(g) contract management information, stakeholder management information, compliance information, reporting frameworks, and governance procedures;</w:t>
      </w:r>
    </w:p>
    <w:p w14:paraId="10F42E8F"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(h) refinancing plans, debt restructuring plans, lender negotiations, financing strategies, and treasury management information;</w:t>
      </w:r>
    </w:p>
    <w:p w14:paraId="02AAE2AB"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w:t>
      </w:r>
      <w:proofErr w:type="spellStart"/>
      <w:r w:rsidRPr="005A4229">
        <w:rPr>
          <w:rFonts w:ascii="Times New Roman" w:hAnsi="Times New Roman" w:cs="Times New Roman"/>
          <w:color w:val="156082" w:themeColor="accent1"/>
        </w:rPr>
        <w:t>i</w:t>
      </w:r>
      <w:proofErr w:type="spellEnd"/>
      <w:r w:rsidRPr="005A4229">
        <w:rPr>
          <w:rFonts w:ascii="Times New Roman" w:hAnsi="Times New Roman" w:cs="Times New Roman"/>
          <w:color w:val="156082" w:themeColor="accent1"/>
        </w:rPr>
        <w:t>) asset valuations, portfolio valuations, transaction assessments, due diligence reports, market assessments, and investment committee materials;</w:t>
      </w:r>
    </w:p>
    <w:p w14:paraId="70C66EDE"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(j) operational risk assessments, financial risk assessments, insurance information, claims information, contingency plans, and mitigation strategies;</w:t>
      </w:r>
    </w:p>
    <w:p w14:paraId="07983610"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(k) ESG reports, sustainability reports, carbon credit information, REC information, environmental performance information, and compliance assessments;</w:t>
      </w:r>
    </w:p>
    <w:p w14:paraId="755EAE25"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(l) acquisition discussions, sale discussions, strategic partnership discussions, merger discussions, and investment discussions relating to renewable energy assets; and</w:t>
      </w:r>
    </w:p>
    <w:p w14:paraId="0F2BA151" w14:textId="25931041"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lastRenderedPageBreak/>
        <w:t>(m) any other technical, commercial, financial, operational, portfolio-related, investment-related, refinancing-related, renewable-energy-related, strategic, or proprietary information disclosed in connection with Asset Management Services.</w:t>
      </w:r>
    </w:p>
    <w:p w14:paraId="17D86750" w14:textId="77777777" w:rsidR="005A4229" w:rsidRPr="005A4229" w:rsidRDefault="005A4229" w:rsidP="005A4229">
      <w:pPr>
        <w:jc w:val="both"/>
        <w:rPr>
          <w:rFonts w:ascii="Times New Roman" w:hAnsi="Times New Roman" w:cs="Times New Roman"/>
          <w:b/>
          <w:bCs/>
          <w:color w:val="156082" w:themeColor="accent1"/>
        </w:rPr>
      </w:pPr>
      <w:r w:rsidRPr="005A4229">
        <w:rPr>
          <w:rFonts w:ascii="Times New Roman" w:hAnsi="Times New Roman" w:cs="Times New Roman"/>
          <w:b/>
          <w:bCs/>
          <w:color w:val="156082" w:themeColor="accent1"/>
        </w:rPr>
        <w:t>E. OPTIONAL INTRODUCED CONTACTS DATASET</w:t>
      </w:r>
    </w:p>
    <w:p w14:paraId="64001518"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Asset Managers</w:t>
      </w:r>
    </w:p>
    <w:p w14:paraId="723619ED"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Infrastructure Funds</w:t>
      </w:r>
    </w:p>
    <w:p w14:paraId="208D7BA1"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Investors</w:t>
      </w:r>
    </w:p>
    <w:p w14:paraId="6ECCA3EE"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Lenders</w:t>
      </w:r>
    </w:p>
    <w:p w14:paraId="3BB9D680"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Banks</w:t>
      </w:r>
    </w:p>
    <w:p w14:paraId="6366BBD9"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Project Owners</w:t>
      </w:r>
    </w:p>
    <w:p w14:paraId="77415B61"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Portfolio Owners</w:t>
      </w:r>
    </w:p>
    <w:p w14:paraId="215B997E"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Project Developers</w:t>
      </w:r>
    </w:p>
    <w:p w14:paraId="521C36FC"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O&amp;M Contractors</w:t>
      </w:r>
    </w:p>
    <w:p w14:paraId="1F7654F0"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EPC Contractors</w:t>
      </w:r>
    </w:p>
    <w:p w14:paraId="19A54A8A"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Independent Engineers</w:t>
      </w:r>
    </w:p>
    <w:p w14:paraId="75295151"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Financial Advisors</w:t>
      </w:r>
    </w:p>
    <w:p w14:paraId="4D2191AD"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Technical Advisors</w:t>
      </w:r>
    </w:p>
    <w:p w14:paraId="1BDE806D"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Legal Advisors</w:t>
      </w:r>
    </w:p>
    <w:p w14:paraId="41F1A2A0"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Insurance Providers</w:t>
      </w:r>
    </w:p>
    <w:p w14:paraId="6DF8A379"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 xml:space="preserve">Corporate </w:t>
      </w:r>
      <w:proofErr w:type="spellStart"/>
      <w:r w:rsidRPr="005A4229">
        <w:rPr>
          <w:rFonts w:ascii="Times New Roman" w:hAnsi="Times New Roman" w:cs="Times New Roman"/>
          <w:color w:val="156082" w:themeColor="accent1"/>
        </w:rPr>
        <w:t>Offtakers</w:t>
      </w:r>
      <w:proofErr w:type="spellEnd"/>
    </w:p>
    <w:p w14:paraId="76A44081"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Government Authorities</w:t>
      </w:r>
    </w:p>
    <w:p w14:paraId="164B9644"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Regulatory Authorities</w:t>
      </w:r>
    </w:p>
    <w:p w14:paraId="6CD07CDA"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Strategic Partners</w:t>
      </w:r>
    </w:p>
    <w:p w14:paraId="1552A259"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Portfolio Buyers</w:t>
      </w:r>
    </w:p>
    <w:p w14:paraId="1E2ADA38" w14:textId="77777777" w:rsidR="005A4229" w:rsidRPr="005A4229" w:rsidRDefault="005A4229" w:rsidP="005A4229">
      <w:pPr>
        <w:jc w:val="both"/>
        <w:rPr>
          <w:rFonts w:ascii="Times New Roman" w:hAnsi="Times New Roman" w:cs="Times New Roman"/>
          <w:color w:val="156082" w:themeColor="accent1"/>
        </w:rPr>
      </w:pPr>
      <w:r w:rsidRPr="005A4229">
        <w:rPr>
          <w:rFonts w:ascii="Times New Roman" w:hAnsi="Times New Roman" w:cs="Times New Roman"/>
          <w:color w:val="156082" w:themeColor="accent1"/>
        </w:rPr>
        <w:t>Portfolio Sellers</w:t>
      </w:r>
    </w:p>
    <w:p w14:paraId="2D48AF47" w14:textId="77777777" w:rsidR="005A4229" w:rsidRPr="005A4229" w:rsidRDefault="005A4229" w:rsidP="005A4229">
      <w:pPr>
        <w:jc w:val="both"/>
        <w:rPr>
          <w:rFonts w:ascii="Times New Roman" w:hAnsi="Times New Roman" w:cs="Times New Roman"/>
          <w:color w:val="156082" w:themeColor="accent1"/>
        </w:rPr>
      </w:pPr>
    </w:p>
    <w:sectPr w:rsidR="005A4229" w:rsidRPr="005A42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27CF8"/>
    <w:multiLevelType w:val="multilevel"/>
    <w:tmpl w:val="0082C6F4"/>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31501770"/>
    <w:multiLevelType w:val="multilevel"/>
    <w:tmpl w:val="C512C6B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382F2110"/>
    <w:multiLevelType w:val="multilevel"/>
    <w:tmpl w:val="40D44EC6"/>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4134186C"/>
    <w:multiLevelType w:val="multilevel"/>
    <w:tmpl w:val="2F88EF68"/>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542C5895"/>
    <w:multiLevelType w:val="multilevel"/>
    <w:tmpl w:val="2A160D18"/>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C192874"/>
    <w:multiLevelType w:val="multilevel"/>
    <w:tmpl w:val="6EE4AF6E"/>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201891768">
    <w:abstractNumId w:val="1"/>
  </w:num>
  <w:num w:numId="2" w16cid:durableId="332608216">
    <w:abstractNumId w:val="0"/>
  </w:num>
  <w:num w:numId="3" w16cid:durableId="1028021944">
    <w:abstractNumId w:val="2"/>
  </w:num>
  <w:num w:numId="4" w16cid:durableId="1185705399">
    <w:abstractNumId w:val="5"/>
  </w:num>
  <w:num w:numId="5" w16cid:durableId="1740786273">
    <w:abstractNumId w:val="4"/>
  </w:num>
  <w:num w:numId="6" w16cid:durableId="19374452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229"/>
    <w:rsid w:val="001D50F3"/>
    <w:rsid w:val="005A42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2F3D5"/>
  <w15:chartTrackingRefBased/>
  <w15:docId w15:val="{1C6E3EAB-FFB0-4166-926C-19AD362BC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2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2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2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2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2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2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2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2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2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2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2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2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2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2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2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2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2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229"/>
    <w:rPr>
      <w:rFonts w:eastAsiaTheme="majorEastAsia" w:cstheme="majorBidi"/>
      <w:color w:val="272727" w:themeColor="text1" w:themeTint="D8"/>
    </w:rPr>
  </w:style>
  <w:style w:type="paragraph" w:styleId="Title">
    <w:name w:val="Title"/>
    <w:basedOn w:val="Normal"/>
    <w:next w:val="Normal"/>
    <w:link w:val="TitleChar"/>
    <w:uiPriority w:val="10"/>
    <w:qFormat/>
    <w:rsid w:val="005A4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2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2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2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229"/>
    <w:pPr>
      <w:spacing w:before="160"/>
      <w:jc w:val="center"/>
    </w:pPr>
    <w:rPr>
      <w:i/>
      <w:iCs/>
      <w:color w:val="404040" w:themeColor="text1" w:themeTint="BF"/>
    </w:rPr>
  </w:style>
  <w:style w:type="character" w:customStyle="1" w:styleId="QuoteChar">
    <w:name w:val="Quote Char"/>
    <w:basedOn w:val="DefaultParagraphFont"/>
    <w:link w:val="Quote"/>
    <w:uiPriority w:val="29"/>
    <w:rsid w:val="005A4229"/>
    <w:rPr>
      <w:i/>
      <w:iCs/>
      <w:color w:val="404040" w:themeColor="text1" w:themeTint="BF"/>
    </w:rPr>
  </w:style>
  <w:style w:type="paragraph" w:styleId="ListParagraph">
    <w:name w:val="List Paragraph"/>
    <w:basedOn w:val="Normal"/>
    <w:uiPriority w:val="34"/>
    <w:qFormat/>
    <w:rsid w:val="005A4229"/>
    <w:pPr>
      <w:ind w:left="720"/>
      <w:contextualSpacing/>
    </w:pPr>
  </w:style>
  <w:style w:type="character" w:styleId="IntenseEmphasis">
    <w:name w:val="Intense Emphasis"/>
    <w:basedOn w:val="DefaultParagraphFont"/>
    <w:uiPriority w:val="21"/>
    <w:qFormat/>
    <w:rsid w:val="005A4229"/>
    <w:rPr>
      <w:i/>
      <w:iCs/>
      <w:color w:val="0F4761" w:themeColor="accent1" w:themeShade="BF"/>
    </w:rPr>
  </w:style>
  <w:style w:type="paragraph" w:styleId="IntenseQuote">
    <w:name w:val="Intense Quote"/>
    <w:basedOn w:val="Normal"/>
    <w:next w:val="Normal"/>
    <w:link w:val="IntenseQuoteChar"/>
    <w:uiPriority w:val="30"/>
    <w:qFormat/>
    <w:rsid w:val="005A42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229"/>
    <w:rPr>
      <w:i/>
      <w:iCs/>
      <w:color w:val="0F4761" w:themeColor="accent1" w:themeShade="BF"/>
    </w:rPr>
  </w:style>
  <w:style w:type="character" w:styleId="IntenseReference">
    <w:name w:val="Intense Reference"/>
    <w:basedOn w:val="DefaultParagraphFont"/>
    <w:uiPriority w:val="32"/>
    <w:qFormat/>
    <w:rsid w:val="005A42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756</Words>
  <Characters>4311</Characters>
  <Application>Microsoft Office Word</Application>
  <DocSecurity>0</DocSecurity>
  <Lines>35</Lines>
  <Paragraphs>10</Paragraphs>
  <ScaleCrop>false</ScaleCrop>
  <Company/>
  <LinksUpToDate>false</LinksUpToDate>
  <CharactersWithSpaces>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2026-06-09T18:35:00Z</dcterms:created>
  <dcterms:modified xsi:type="dcterms:W3CDTF">2026-06-09T18:37:00Z</dcterms:modified>
</cp:coreProperties>
</file>