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23273" w14:textId="77777777" w:rsidR="00F10C15" w:rsidRPr="00F10C15" w:rsidRDefault="00F10C15" w:rsidP="00F10C15">
      <w:pPr>
        <w:jc w:val="center"/>
        <w:rPr>
          <w:rFonts w:ascii="Times New Roman" w:hAnsi="Times New Roman" w:cs="Times New Roman"/>
          <w:b/>
          <w:bCs/>
          <w:color w:val="156082" w:themeColor="accent1"/>
          <w:u w:val="single"/>
        </w:rPr>
      </w:pPr>
      <w:r w:rsidRPr="00F10C15">
        <w:rPr>
          <w:rFonts w:ascii="Times New Roman" w:hAnsi="Times New Roman" w:cs="Times New Roman"/>
          <w:b/>
          <w:bCs/>
          <w:color w:val="156082" w:themeColor="accent1"/>
          <w:u w:val="single"/>
        </w:rPr>
        <w:t>RE-10 – PERFORMANCE IMPROVEMENT DISCUSSIONS</w:t>
      </w:r>
    </w:p>
    <w:p w14:paraId="555632CD" w14:textId="77777777" w:rsidR="00F10C15" w:rsidRPr="00F10C15" w:rsidRDefault="00F10C15" w:rsidP="00F10C15">
      <w:pPr>
        <w:jc w:val="both"/>
        <w:rPr>
          <w:rFonts w:ascii="Times New Roman" w:hAnsi="Times New Roman" w:cs="Times New Roman"/>
          <w:b/>
          <w:bCs/>
          <w:color w:val="156082" w:themeColor="accent1"/>
        </w:rPr>
      </w:pPr>
      <w:r w:rsidRPr="00F10C15">
        <w:rPr>
          <w:rFonts w:ascii="Times New Roman" w:hAnsi="Times New Roman" w:cs="Times New Roman"/>
          <w:b/>
          <w:bCs/>
          <w:color w:val="156082" w:themeColor="accent1"/>
        </w:rPr>
        <w:t>A. PURPOSE DEFINITION</w:t>
      </w:r>
    </w:p>
    <w:p w14:paraId="675D6A9F" w14:textId="789D7DF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"Purpose" means the evaluation, discussion, assessment, planning, implementation, optimization, enhancement, augmentation, repowering, modernization, refurbishment, upgrading, performance improvement, efficiency improvement, reliability improvement, life extension, or potential implementation of performance enhancement initiatives relating to renewable energy assets, energy storage assets, hydrogen facilities, or associated infrastructure.</w:t>
      </w:r>
    </w:p>
    <w:p w14:paraId="05D05704" w14:textId="77777777" w:rsidR="00F10C15" w:rsidRPr="00F10C15" w:rsidRDefault="00F10C15" w:rsidP="00F10C15">
      <w:pPr>
        <w:jc w:val="both"/>
        <w:rPr>
          <w:rFonts w:ascii="Times New Roman" w:hAnsi="Times New Roman" w:cs="Times New Roman"/>
          <w:b/>
          <w:bCs/>
          <w:color w:val="156082" w:themeColor="accent1"/>
        </w:rPr>
      </w:pPr>
      <w:r w:rsidRPr="00F10C15">
        <w:rPr>
          <w:rFonts w:ascii="Times New Roman" w:hAnsi="Times New Roman" w:cs="Times New Roman"/>
          <w:b/>
          <w:bCs/>
          <w:color w:val="156082" w:themeColor="accent1"/>
        </w:rPr>
        <w:t>B. RECITAL VARIANT</w:t>
      </w:r>
    </w:p>
    <w:p w14:paraId="24A6F498" w14:textId="77777777" w:rsidR="00F10C15" w:rsidRPr="00F10C15" w:rsidRDefault="00F10C15" w:rsidP="00F10C15">
      <w:pPr>
        <w:jc w:val="both"/>
        <w:rPr>
          <w:rFonts w:ascii="Times New Roman" w:hAnsi="Times New Roman" w:cs="Times New Roman"/>
          <w:color w:val="156082" w:themeColor="accent1"/>
        </w:rPr>
      </w:pPr>
      <w:proofErr w:type="gramStart"/>
      <w:r w:rsidRPr="00F10C15">
        <w:rPr>
          <w:rFonts w:ascii="Times New Roman" w:hAnsi="Times New Roman" w:cs="Times New Roman"/>
          <w:color w:val="156082" w:themeColor="accent1"/>
        </w:rPr>
        <w:t>WHEREAS,</w:t>
      </w:r>
      <w:proofErr w:type="gramEnd"/>
      <w:r w:rsidRPr="00F10C15">
        <w:rPr>
          <w:rFonts w:ascii="Times New Roman" w:hAnsi="Times New Roman" w:cs="Times New Roman"/>
          <w:color w:val="156082" w:themeColor="accent1"/>
        </w:rPr>
        <w:t xml:space="preserve"> the Parties desire to evaluate and discuss one or more performance improvement initiatives, optimization opportunities, repowering projects, augmentation opportunities, operational enhancement measures, or related commercial arrangements;</w:t>
      </w:r>
    </w:p>
    <w:p w14:paraId="34023147"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WHEREAS, in connection with such discussions, assessments, evaluations, technical reviews, and negotiations, the Parties may disclose and exchange confidential technical, commercial, financial, operational, performance-related, engineering-related, and proprietary information;</w:t>
      </w:r>
    </w:p>
    <w:p w14:paraId="712CA583" w14:textId="36E4552F" w:rsidR="00F10C15" w:rsidRPr="00F10C15" w:rsidRDefault="00F10C15" w:rsidP="00F10C15">
      <w:pPr>
        <w:jc w:val="both"/>
        <w:rPr>
          <w:rFonts w:ascii="Times New Roman" w:hAnsi="Times New Roman" w:cs="Times New Roman"/>
          <w:color w:val="156082" w:themeColor="accent1"/>
        </w:rPr>
      </w:pPr>
      <w:proofErr w:type="gramStart"/>
      <w:r w:rsidRPr="00F10C15">
        <w:rPr>
          <w:rFonts w:ascii="Times New Roman" w:hAnsi="Times New Roman" w:cs="Times New Roman"/>
          <w:color w:val="156082" w:themeColor="accent1"/>
        </w:rPr>
        <w:t>WHEREAS,</w:t>
      </w:r>
      <w:proofErr w:type="gramEnd"/>
      <w:r w:rsidRPr="00F10C15">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58D6975D" w14:textId="77777777" w:rsidR="00F10C15" w:rsidRPr="00F10C15" w:rsidRDefault="00F10C15" w:rsidP="00F10C15">
      <w:pPr>
        <w:jc w:val="both"/>
        <w:rPr>
          <w:rFonts w:ascii="Times New Roman" w:hAnsi="Times New Roman" w:cs="Times New Roman"/>
          <w:b/>
          <w:bCs/>
          <w:color w:val="156082" w:themeColor="accent1"/>
        </w:rPr>
      </w:pPr>
      <w:r w:rsidRPr="00F10C15">
        <w:rPr>
          <w:rFonts w:ascii="Times New Roman" w:hAnsi="Times New Roman" w:cs="Times New Roman"/>
          <w:b/>
          <w:bCs/>
          <w:color w:val="156082" w:themeColor="accent1"/>
        </w:rPr>
        <w:t>C. ADDITIONAL DEFINITIONS</w:t>
      </w:r>
    </w:p>
    <w:p w14:paraId="3B799F88" w14:textId="77777777" w:rsidR="00F10C15" w:rsidRPr="00F10C15" w:rsidRDefault="00F10C15" w:rsidP="00F10C15">
      <w:pPr>
        <w:numPr>
          <w:ilvl w:val="0"/>
          <w:numId w:val="1"/>
        </w:numPr>
        <w:tabs>
          <w:tab w:val="clear" w:pos="360"/>
          <w:tab w:val="num" w:pos="720"/>
        </w:tabs>
        <w:jc w:val="both"/>
        <w:rPr>
          <w:rFonts w:ascii="Times New Roman" w:hAnsi="Times New Roman" w:cs="Times New Roman"/>
          <w:b/>
          <w:bCs/>
          <w:color w:val="156082" w:themeColor="accent1"/>
        </w:rPr>
      </w:pPr>
      <w:r w:rsidRPr="00F10C15">
        <w:rPr>
          <w:rFonts w:ascii="Times New Roman" w:hAnsi="Times New Roman" w:cs="Times New Roman"/>
          <w:b/>
          <w:bCs/>
          <w:color w:val="156082" w:themeColor="accent1"/>
        </w:rPr>
        <w:t>Performance Improvement Initiative</w:t>
      </w:r>
    </w:p>
    <w:p w14:paraId="43E9E897"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"Performance Improvement Initiative" means any activity intended to improve energy generation, efficiency, availability, reliability, output, profitability, operational performance, asset value, or lifecycle performance of a renewable energy asset.</w:t>
      </w:r>
    </w:p>
    <w:p w14:paraId="7F8CCDEE" w14:textId="77777777" w:rsidR="00F10C15" w:rsidRPr="00F10C15" w:rsidRDefault="00F10C15" w:rsidP="00F10C15">
      <w:pPr>
        <w:numPr>
          <w:ilvl w:val="0"/>
          <w:numId w:val="2"/>
        </w:numPr>
        <w:tabs>
          <w:tab w:val="clear" w:pos="360"/>
          <w:tab w:val="num" w:pos="720"/>
        </w:tabs>
        <w:jc w:val="both"/>
        <w:rPr>
          <w:rFonts w:ascii="Times New Roman" w:hAnsi="Times New Roman" w:cs="Times New Roman"/>
          <w:b/>
          <w:bCs/>
          <w:color w:val="156082" w:themeColor="accent1"/>
        </w:rPr>
      </w:pPr>
      <w:r w:rsidRPr="00F10C15">
        <w:rPr>
          <w:rFonts w:ascii="Times New Roman" w:hAnsi="Times New Roman" w:cs="Times New Roman"/>
          <w:b/>
          <w:bCs/>
          <w:color w:val="156082" w:themeColor="accent1"/>
        </w:rPr>
        <w:t>Asset Optimization</w:t>
      </w:r>
    </w:p>
    <w:p w14:paraId="57C524F0"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"Asset Optimization" means the process of maximizing the operational, technical, financial, and commercial performance of a renewable energy asset through modifications, enhancements, operational improvements, or strategic interventions.</w:t>
      </w:r>
    </w:p>
    <w:p w14:paraId="4126E03B" w14:textId="77777777" w:rsidR="00F10C15" w:rsidRPr="00F10C15" w:rsidRDefault="00F10C15" w:rsidP="00F10C15">
      <w:pPr>
        <w:numPr>
          <w:ilvl w:val="0"/>
          <w:numId w:val="3"/>
        </w:numPr>
        <w:tabs>
          <w:tab w:val="clear" w:pos="360"/>
          <w:tab w:val="num" w:pos="720"/>
        </w:tabs>
        <w:jc w:val="both"/>
        <w:rPr>
          <w:rFonts w:ascii="Times New Roman" w:hAnsi="Times New Roman" w:cs="Times New Roman"/>
          <w:b/>
          <w:bCs/>
          <w:color w:val="156082" w:themeColor="accent1"/>
        </w:rPr>
      </w:pPr>
      <w:r w:rsidRPr="00F10C15">
        <w:rPr>
          <w:rFonts w:ascii="Times New Roman" w:hAnsi="Times New Roman" w:cs="Times New Roman"/>
          <w:b/>
          <w:bCs/>
          <w:color w:val="156082" w:themeColor="accent1"/>
        </w:rPr>
        <w:t>Repowering</w:t>
      </w:r>
    </w:p>
    <w:p w14:paraId="0B75177F"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"Repowering" means the replacement, upgrade, refurbishment, augmentation, modernization, or enhancement of equipment, systems, technologies, or infrastructure to improve project performance.</w:t>
      </w:r>
    </w:p>
    <w:p w14:paraId="2613115F" w14:textId="77777777" w:rsidR="00F10C15" w:rsidRPr="00F10C15" w:rsidRDefault="00F10C15" w:rsidP="00F10C15">
      <w:pPr>
        <w:numPr>
          <w:ilvl w:val="0"/>
          <w:numId w:val="4"/>
        </w:numPr>
        <w:tabs>
          <w:tab w:val="clear" w:pos="360"/>
          <w:tab w:val="num" w:pos="720"/>
        </w:tabs>
        <w:jc w:val="both"/>
        <w:rPr>
          <w:rFonts w:ascii="Times New Roman" w:hAnsi="Times New Roman" w:cs="Times New Roman"/>
          <w:b/>
          <w:bCs/>
          <w:color w:val="156082" w:themeColor="accent1"/>
        </w:rPr>
      </w:pPr>
      <w:r w:rsidRPr="00F10C15">
        <w:rPr>
          <w:rFonts w:ascii="Times New Roman" w:hAnsi="Times New Roman" w:cs="Times New Roman"/>
          <w:b/>
          <w:bCs/>
          <w:color w:val="156082" w:themeColor="accent1"/>
        </w:rPr>
        <w:t>Performance Information</w:t>
      </w:r>
    </w:p>
    <w:p w14:paraId="448E1FC3"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"Performance Information" means information relating to generation performance, energy yield, availability, reliability, efficiency, losses, degradation, downtime, operational effectiveness, and performance benchmarks.</w:t>
      </w:r>
    </w:p>
    <w:p w14:paraId="1B6542CD" w14:textId="77777777" w:rsidR="00F10C15" w:rsidRPr="00F10C15" w:rsidRDefault="00F10C15" w:rsidP="00F10C15">
      <w:pPr>
        <w:numPr>
          <w:ilvl w:val="0"/>
          <w:numId w:val="5"/>
        </w:numPr>
        <w:tabs>
          <w:tab w:val="clear" w:pos="360"/>
          <w:tab w:val="num" w:pos="720"/>
        </w:tabs>
        <w:jc w:val="both"/>
        <w:rPr>
          <w:rFonts w:ascii="Times New Roman" w:hAnsi="Times New Roman" w:cs="Times New Roman"/>
          <w:b/>
          <w:bCs/>
          <w:color w:val="156082" w:themeColor="accent1"/>
        </w:rPr>
      </w:pPr>
      <w:r w:rsidRPr="00F10C15">
        <w:rPr>
          <w:rFonts w:ascii="Times New Roman" w:hAnsi="Times New Roman" w:cs="Times New Roman"/>
          <w:b/>
          <w:bCs/>
          <w:color w:val="156082" w:themeColor="accent1"/>
        </w:rPr>
        <w:t>Operational Losses</w:t>
      </w:r>
    </w:p>
    <w:p w14:paraId="16C0667A"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lastRenderedPageBreak/>
        <w:t>"Operational Losses" means generation losses, transmission losses, equipment losses, availability losses, efficiency losses, curtailment losses, degradation losses, and other factors affecting project performance.</w:t>
      </w:r>
    </w:p>
    <w:p w14:paraId="6E280C0B" w14:textId="77777777" w:rsidR="00F10C15" w:rsidRPr="00F10C15" w:rsidRDefault="00F10C15" w:rsidP="00F10C15">
      <w:pPr>
        <w:numPr>
          <w:ilvl w:val="0"/>
          <w:numId w:val="6"/>
        </w:numPr>
        <w:tabs>
          <w:tab w:val="clear" w:pos="360"/>
          <w:tab w:val="num" w:pos="720"/>
        </w:tabs>
        <w:jc w:val="both"/>
        <w:rPr>
          <w:rFonts w:ascii="Times New Roman" w:hAnsi="Times New Roman" w:cs="Times New Roman"/>
          <w:b/>
          <w:bCs/>
          <w:color w:val="156082" w:themeColor="accent1"/>
        </w:rPr>
      </w:pPr>
      <w:r w:rsidRPr="00F10C15">
        <w:rPr>
          <w:rFonts w:ascii="Times New Roman" w:hAnsi="Times New Roman" w:cs="Times New Roman"/>
          <w:b/>
          <w:bCs/>
          <w:color w:val="156082" w:themeColor="accent1"/>
        </w:rPr>
        <w:t>Improvement Measures</w:t>
      </w:r>
    </w:p>
    <w:p w14:paraId="19F442C5" w14:textId="07081EF6"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"Improvement Measures" means technical upgrades, equipment replacements, software upgrades, process improvements, operational enhancements, maintenance improvements, augmentation measures, and optimization initiatives.</w:t>
      </w:r>
    </w:p>
    <w:p w14:paraId="4AB232AB" w14:textId="77777777" w:rsidR="00F10C15" w:rsidRPr="00F10C15" w:rsidRDefault="00F10C15" w:rsidP="00F10C15">
      <w:pPr>
        <w:jc w:val="both"/>
        <w:rPr>
          <w:rFonts w:ascii="Times New Roman" w:hAnsi="Times New Roman" w:cs="Times New Roman"/>
          <w:b/>
          <w:bCs/>
          <w:color w:val="156082" w:themeColor="accent1"/>
        </w:rPr>
      </w:pPr>
      <w:r w:rsidRPr="00F10C15">
        <w:rPr>
          <w:rFonts w:ascii="Times New Roman" w:hAnsi="Times New Roman" w:cs="Times New Roman"/>
          <w:b/>
          <w:bCs/>
          <w:color w:val="156082" w:themeColor="accent1"/>
        </w:rPr>
        <w:t>D. CONFIDENTIAL INFORMATION EXPANSION</w:t>
      </w:r>
    </w:p>
    <w:p w14:paraId="314E9F51"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Without limitation, Confidential Information includes:</w:t>
      </w:r>
    </w:p>
    <w:p w14:paraId="3042AE0F"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(a) performance reports, generation reports, yield analyses, availability reports, reliability reports, efficiency reports, and operational performance assessments;</w:t>
      </w:r>
    </w:p>
    <w:p w14:paraId="091C41CE"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(b) asset optimization studies, performance benchmarking studies, gap analyses, root cause analyses, and operational improvement assessments;</w:t>
      </w:r>
    </w:p>
    <w:p w14:paraId="1C1532D6"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(c) repowering plans, augmentation plans, modernization plans, technology upgrade plans, refurbishment plans, and implementation strategies;</w:t>
      </w:r>
    </w:p>
    <w:p w14:paraId="744BFBA7"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(d) degradation studies, equipment performance studies, failure analyses, lifecycle assessments, reliability assessments, and condition monitoring reports;</w:t>
      </w:r>
    </w:p>
    <w:p w14:paraId="2202338D"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(e) SCADA data, monitoring information, operational data, performance analytics, fault data, alarm data, and operational intelligence;</w:t>
      </w:r>
    </w:p>
    <w:p w14:paraId="498061B1"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(f) engineering assessments, technical evaluations, design modifications, equipment specifications, upgrade specifications, and technical recommendations;</w:t>
      </w:r>
    </w:p>
    <w:p w14:paraId="5D30A95A"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(g) operational loss analyses, curtailment studies, energy loss assessments, downtime analyses, and efficiency improvement opportunities;</w:t>
      </w:r>
    </w:p>
    <w:p w14:paraId="2EDDCAAC"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(h) maintenance optimization plans, spare parts strategies, predictive maintenance analyses, preventive maintenance programs, and operational excellence initiatives;</w:t>
      </w:r>
    </w:p>
    <w:p w14:paraId="0DB4EE52"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w:t>
      </w:r>
      <w:proofErr w:type="spellStart"/>
      <w:r w:rsidRPr="00F10C15">
        <w:rPr>
          <w:rFonts w:ascii="Times New Roman" w:hAnsi="Times New Roman" w:cs="Times New Roman"/>
          <w:color w:val="156082" w:themeColor="accent1"/>
        </w:rPr>
        <w:t>i</w:t>
      </w:r>
      <w:proofErr w:type="spellEnd"/>
      <w:r w:rsidRPr="00F10C15">
        <w:rPr>
          <w:rFonts w:ascii="Times New Roman" w:hAnsi="Times New Roman" w:cs="Times New Roman"/>
          <w:color w:val="156082" w:themeColor="accent1"/>
        </w:rPr>
        <w:t>) financial models, cost-benefit analyses, investment assessments, revenue improvement forecasts, project economics, and return-on-investment analyses;</w:t>
      </w:r>
    </w:p>
    <w:p w14:paraId="71277E5A"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(j) supplier evaluations, contractor evaluations, technology provider assessments, performance guarantee proposals, and vendor recommendations;</w:t>
      </w:r>
    </w:p>
    <w:p w14:paraId="1327363D"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(k) performance testing methodologies, acceptance criteria, performance guarantees, validation procedures, and commissioning strategies;</w:t>
      </w:r>
    </w:p>
    <w:p w14:paraId="6258793B"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(l) acquisition opportunities, refinancing opportunities, repowering opportunities, strategic partnership opportunities, and portfolio optimization initiatives; and</w:t>
      </w:r>
    </w:p>
    <w:p w14:paraId="7CF31B9A" w14:textId="31912C22"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lastRenderedPageBreak/>
        <w:t>(m) any other technical, commercial, financial, operational, engineering-related, performance-related, optimization-related, renewable-energy-related, strategic, or proprietary information disclosed in connection with a Performance Improvement Initiative.</w:t>
      </w:r>
    </w:p>
    <w:p w14:paraId="1576E998" w14:textId="77777777" w:rsidR="00F10C15" w:rsidRPr="00F10C15" w:rsidRDefault="00F10C15" w:rsidP="00F10C15">
      <w:pPr>
        <w:jc w:val="both"/>
        <w:rPr>
          <w:rFonts w:ascii="Times New Roman" w:hAnsi="Times New Roman" w:cs="Times New Roman"/>
          <w:b/>
          <w:bCs/>
          <w:color w:val="156082" w:themeColor="accent1"/>
        </w:rPr>
      </w:pPr>
      <w:r w:rsidRPr="00F10C15">
        <w:rPr>
          <w:rFonts w:ascii="Times New Roman" w:hAnsi="Times New Roman" w:cs="Times New Roman"/>
          <w:b/>
          <w:bCs/>
          <w:color w:val="156082" w:themeColor="accent1"/>
        </w:rPr>
        <w:t>E. OPTIONAL INTRODUCED CONTACTS DATASET</w:t>
      </w:r>
    </w:p>
    <w:p w14:paraId="0DEC2F6F"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Asset Owners</w:t>
      </w:r>
    </w:p>
    <w:p w14:paraId="38E4662E"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Asset Managers</w:t>
      </w:r>
    </w:p>
    <w:p w14:paraId="2D30B6AC"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O&amp;M Contractors</w:t>
      </w:r>
    </w:p>
    <w:p w14:paraId="40DCB4A8"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EPC Contractors</w:t>
      </w:r>
    </w:p>
    <w:p w14:paraId="6E0B7881"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Independent Engineers</w:t>
      </w:r>
    </w:p>
    <w:p w14:paraId="491AE725"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Technical Consultants</w:t>
      </w:r>
    </w:p>
    <w:p w14:paraId="28226111"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Performance Consultants</w:t>
      </w:r>
    </w:p>
    <w:p w14:paraId="49F28EDC"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SCADA Providers</w:t>
      </w:r>
    </w:p>
    <w:p w14:paraId="795F64E9"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Monitoring Service Providers</w:t>
      </w:r>
    </w:p>
    <w:p w14:paraId="5BAF3A6D"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Equipment Manufacturers</w:t>
      </w:r>
    </w:p>
    <w:p w14:paraId="6C614422"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Module Suppliers</w:t>
      </w:r>
    </w:p>
    <w:p w14:paraId="6A7FB2B4"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WTG Suppliers</w:t>
      </w:r>
    </w:p>
    <w:p w14:paraId="3FF78206"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Battery Suppliers</w:t>
      </w:r>
    </w:p>
    <w:p w14:paraId="154409D5"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Technology Providers</w:t>
      </w:r>
    </w:p>
    <w:p w14:paraId="6E39E833"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Investors</w:t>
      </w:r>
    </w:p>
    <w:p w14:paraId="3E8DD2BB"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Infrastructure Funds</w:t>
      </w:r>
    </w:p>
    <w:p w14:paraId="61DA207B"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Lenders</w:t>
      </w:r>
    </w:p>
    <w:p w14:paraId="081CF2A4"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Banks</w:t>
      </w:r>
    </w:p>
    <w:p w14:paraId="59953CE4"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Government Authorities</w:t>
      </w:r>
    </w:p>
    <w:p w14:paraId="4D4DE353"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Regulatory Authorities</w:t>
      </w:r>
    </w:p>
    <w:p w14:paraId="4016C197" w14:textId="77777777" w:rsidR="00F10C15" w:rsidRPr="00F10C15" w:rsidRDefault="00F10C15" w:rsidP="00F10C15">
      <w:pPr>
        <w:jc w:val="both"/>
        <w:rPr>
          <w:rFonts w:ascii="Times New Roman" w:hAnsi="Times New Roman" w:cs="Times New Roman"/>
          <w:color w:val="156082" w:themeColor="accent1"/>
        </w:rPr>
      </w:pPr>
      <w:r w:rsidRPr="00F10C15">
        <w:rPr>
          <w:rFonts w:ascii="Times New Roman" w:hAnsi="Times New Roman" w:cs="Times New Roman"/>
          <w:color w:val="156082" w:themeColor="accent1"/>
        </w:rPr>
        <w:t>Strategic Partners</w:t>
      </w:r>
    </w:p>
    <w:p w14:paraId="584C325D" w14:textId="77777777" w:rsidR="00F10C15" w:rsidRPr="00F10C15" w:rsidRDefault="00F10C15" w:rsidP="00F10C15">
      <w:pPr>
        <w:jc w:val="both"/>
        <w:rPr>
          <w:rFonts w:ascii="Times New Roman" w:hAnsi="Times New Roman" w:cs="Times New Roman"/>
          <w:color w:val="156082" w:themeColor="accent1"/>
        </w:rPr>
      </w:pPr>
    </w:p>
    <w:sectPr w:rsidR="00F10C15" w:rsidRPr="00F10C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150E8"/>
    <w:multiLevelType w:val="multilevel"/>
    <w:tmpl w:val="1728D968"/>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4DD778E"/>
    <w:multiLevelType w:val="multilevel"/>
    <w:tmpl w:val="B1BAC3C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2786BCD"/>
    <w:multiLevelType w:val="multilevel"/>
    <w:tmpl w:val="DBF27D62"/>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46E7AD1"/>
    <w:multiLevelType w:val="multilevel"/>
    <w:tmpl w:val="EB469C7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45AD4E9F"/>
    <w:multiLevelType w:val="multilevel"/>
    <w:tmpl w:val="BFB8718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54905902"/>
    <w:multiLevelType w:val="multilevel"/>
    <w:tmpl w:val="BD9219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792941639">
    <w:abstractNumId w:val="5"/>
  </w:num>
  <w:num w:numId="2" w16cid:durableId="1488591074">
    <w:abstractNumId w:val="4"/>
  </w:num>
  <w:num w:numId="3" w16cid:durableId="1317683571">
    <w:abstractNumId w:val="3"/>
  </w:num>
  <w:num w:numId="4" w16cid:durableId="2123450670">
    <w:abstractNumId w:val="1"/>
  </w:num>
  <w:num w:numId="5" w16cid:durableId="1028721394">
    <w:abstractNumId w:val="2"/>
  </w:num>
  <w:num w:numId="6" w16cid:durableId="26566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C15"/>
    <w:rsid w:val="001D50F3"/>
    <w:rsid w:val="00F10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5D51"/>
  <w15:chartTrackingRefBased/>
  <w15:docId w15:val="{D050A570-71A2-4623-AED7-BAAF5A8DE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C15"/>
    <w:rPr>
      <w:rFonts w:eastAsiaTheme="majorEastAsia" w:cstheme="majorBidi"/>
      <w:color w:val="272727" w:themeColor="text1" w:themeTint="D8"/>
    </w:rPr>
  </w:style>
  <w:style w:type="paragraph" w:styleId="Title">
    <w:name w:val="Title"/>
    <w:basedOn w:val="Normal"/>
    <w:next w:val="Normal"/>
    <w:link w:val="TitleChar"/>
    <w:uiPriority w:val="10"/>
    <w:qFormat/>
    <w:rsid w:val="00F10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C15"/>
    <w:pPr>
      <w:spacing w:before="160"/>
      <w:jc w:val="center"/>
    </w:pPr>
    <w:rPr>
      <w:i/>
      <w:iCs/>
      <w:color w:val="404040" w:themeColor="text1" w:themeTint="BF"/>
    </w:rPr>
  </w:style>
  <w:style w:type="character" w:customStyle="1" w:styleId="QuoteChar">
    <w:name w:val="Quote Char"/>
    <w:basedOn w:val="DefaultParagraphFont"/>
    <w:link w:val="Quote"/>
    <w:uiPriority w:val="29"/>
    <w:rsid w:val="00F10C15"/>
    <w:rPr>
      <w:i/>
      <w:iCs/>
      <w:color w:val="404040" w:themeColor="text1" w:themeTint="BF"/>
    </w:rPr>
  </w:style>
  <w:style w:type="paragraph" w:styleId="ListParagraph">
    <w:name w:val="List Paragraph"/>
    <w:basedOn w:val="Normal"/>
    <w:uiPriority w:val="34"/>
    <w:qFormat/>
    <w:rsid w:val="00F10C15"/>
    <w:pPr>
      <w:ind w:left="720"/>
      <w:contextualSpacing/>
    </w:pPr>
  </w:style>
  <w:style w:type="character" w:styleId="IntenseEmphasis">
    <w:name w:val="Intense Emphasis"/>
    <w:basedOn w:val="DefaultParagraphFont"/>
    <w:uiPriority w:val="21"/>
    <w:qFormat/>
    <w:rsid w:val="00F10C15"/>
    <w:rPr>
      <w:i/>
      <w:iCs/>
      <w:color w:val="0F4761" w:themeColor="accent1" w:themeShade="BF"/>
    </w:rPr>
  </w:style>
  <w:style w:type="paragraph" w:styleId="IntenseQuote">
    <w:name w:val="Intense Quote"/>
    <w:basedOn w:val="Normal"/>
    <w:next w:val="Normal"/>
    <w:link w:val="IntenseQuoteChar"/>
    <w:uiPriority w:val="30"/>
    <w:qFormat/>
    <w:rsid w:val="00F10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C15"/>
    <w:rPr>
      <w:i/>
      <w:iCs/>
      <w:color w:val="0F4761" w:themeColor="accent1" w:themeShade="BF"/>
    </w:rPr>
  </w:style>
  <w:style w:type="character" w:styleId="IntenseReference">
    <w:name w:val="Intense Reference"/>
    <w:basedOn w:val="DefaultParagraphFont"/>
    <w:uiPriority w:val="32"/>
    <w:qFormat/>
    <w:rsid w:val="00F10C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784</Words>
  <Characters>4475</Characters>
  <Application>Microsoft Office Word</Application>
  <DocSecurity>0</DocSecurity>
  <Lines>37</Lines>
  <Paragraphs>10</Paragraphs>
  <ScaleCrop>false</ScaleCrop>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2026-06-09T18:37:00Z</dcterms:created>
  <dcterms:modified xsi:type="dcterms:W3CDTF">2026-06-09T18:43:00Z</dcterms:modified>
</cp:coreProperties>
</file>