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08EAA" w14:textId="77777777" w:rsidR="00834AB8" w:rsidRPr="00151117" w:rsidRDefault="00834AB8" w:rsidP="00151117">
      <w:pPr>
        <w:jc w:val="center"/>
        <w:rPr>
          <w:rFonts w:ascii="Times New Roman" w:hAnsi="Times New Roman" w:cs="Times New Roman"/>
          <w:b/>
          <w:bCs/>
          <w:color w:val="156082" w:themeColor="accent1"/>
          <w:u w:val="single"/>
        </w:rPr>
      </w:pPr>
      <w:r w:rsidRPr="00151117">
        <w:rPr>
          <w:rFonts w:ascii="Times New Roman" w:hAnsi="Times New Roman" w:cs="Times New Roman"/>
          <w:b/>
          <w:bCs/>
          <w:color w:val="156082" w:themeColor="accent1"/>
          <w:u w:val="single"/>
        </w:rPr>
        <w:t>RE-12 – LAND LEASE DISCUSSIONS</w:t>
      </w:r>
    </w:p>
    <w:p w14:paraId="11CDC2DD" w14:textId="77777777" w:rsidR="00834AB8" w:rsidRPr="00151117" w:rsidRDefault="00834AB8" w:rsidP="00834AB8">
      <w:pPr>
        <w:jc w:val="both"/>
        <w:rPr>
          <w:rFonts w:ascii="Times New Roman" w:hAnsi="Times New Roman" w:cs="Times New Roman"/>
          <w:b/>
          <w:bCs/>
          <w:color w:val="156082" w:themeColor="accent1"/>
        </w:rPr>
      </w:pPr>
      <w:r w:rsidRPr="00151117">
        <w:rPr>
          <w:rFonts w:ascii="Times New Roman" w:hAnsi="Times New Roman" w:cs="Times New Roman"/>
          <w:b/>
          <w:bCs/>
          <w:color w:val="156082" w:themeColor="accent1"/>
        </w:rPr>
        <w:t>A. PURPOSE DEFINITION</w:t>
      </w:r>
    </w:p>
    <w:p w14:paraId="67EA1187" w14:textId="7C219563"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"Purpose" means the evaluation, discussion, negotiation, structuring, grant, acquisition, renewal, assignment, transfer, financing, management, or potential establishment of land lease arrangements, site lease arrangements, development rights, occupancy rights, access rights, easement rights, or other land-related interests for renewable energy projects or associated infrastructure.</w:t>
      </w:r>
    </w:p>
    <w:p w14:paraId="19AF5AC3" w14:textId="77777777" w:rsidR="00834AB8" w:rsidRPr="00151117" w:rsidRDefault="00834AB8" w:rsidP="00834AB8">
      <w:pPr>
        <w:jc w:val="both"/>
        <w:rPr>
          <w:rFonts w:ascii="Times New Roman" w:hAnsi="Times New Roman" w:cs="Times New Roman"/>
          <w:b/>
          <w:bCs/>
          <w:color w:val="156082" w:themeColor="accent1"/>
        </w:rPr>
      </w:pPr>
      <w:r w:rsidRPr="00151117">
        <w:rPr>
          <w:rFonts w:ascii="Times New Roman" w:hAnsi="Times New Roman" w:cs="Times New Roman"/>
          <w:b/>
          <w:bCs/>
          <w:color w:val="156082" w:themeColor="accent1"/>
        </w:rPr>
        <w:t>B. RECITAL VARIANT</w:t>
      </w:r>
    </w:p>
    <w:p w14:paraId="7739A1D6" w14:textId="77777777" w:rsidR="00834AB8" w:rsidRPr="00834AB8" w:rsidRDefault="00834AB8" w:rsidP="00834AB8">
      <w:pPr>
        <w:jc w:val="both"/>
        <w:rPr>
          <w:rFonts w:ascii="Times New Roman" w:hAnsi="Times New Roman" w:cs="Times New Roman"/>
          <w:color w:val="156082" w:themeColor="accent1"/>
        </w:rPr>
      </w:pPr>
      <w:proofErr w:type="gramStart"/>
      <w:r w:rsidRPr="00834AB8">
        <w:rPr>
          <w:rFonts w:ascii="Times New Roman" w:hAnsi="Times New Roman" w:cs="Times New Roman"/>
          <w:color w:val="156082" w:themeColor="accent1"/>
        </w:rPr>
        <w:t>WHEREAS,</w:t>
      </w:r>
      <w:proofErr w:type="gramEnd"/>
      <w:r w:rsidRPr="00834AB8">
        <w:rPr>
          <w:rFonts w:ascii="Times New Roman" w:hAnsi="Times New Roman" w:cs="Times New Roman"/>
          <w:color w:val="156082" w:themeColor="accent1"/>
        </w:rPr>
        <w:t xml:space="preserve"> the Parties desire to evaluate and discuss one or more land lease opportunities, site lease opportunities, development rights, project site arrangements, or related commercial arrangements for renewable energy projects;</w:t>
      </w:r>
    </w:p>
    <w:p w14:paraId="79027504"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WHEREAS, in connection with such discussions, evaluations, due diligence activities, negotiations, and assessments, the Parties may disclose and exchange confidential legal, commercial, financial, technical, environmental, regulatory, land-related, and proprietary information;</w:t>
      </w:r>
    </w:p>
    <w:p w14:paraId="11C534A9" w14:textId="23AA766A" w:rsidR="00834AB8" w:rsidRPr="00834AB8" w:rsidRDefault="00834AB8" w:rsidP="00834AB8">
      <w:pPr>
        <w:jc w:val="both"/>
        <w:rPr>
          <w:rFonts w:ascii="Times New Roman" w:hAnsi="Times New Roman" w:cs="Times New Roman"/>
          <w:color w:val="156082" w:themeColor="accent1"/>
        </w:rPr>
      </w:pPr>
      <w:proofErr w:type="gramStart"/>
      <w:r w:rsidRPr="00834AB8">
        <w:rPr>
          <w:rFonts w:ascii="Times New Roman" w:hAnsi="Times New Roman" w:cs="Times New Roman"/>
          <w:color w:val="156082" w:themeColor="accent1"/>
        </w:rPr>
        <w:t>WHEREAS,</w:t>
      </w:r>
      <w:proofErr w:type="gramEnd"/>
      <w:r w:rsidRPr="00834AB8">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5581FA01" w14:textId="77777777" w:rsidR="00834AB8" w:rsidRPr="006052A6" w:rsidRDefault="00834AB8" w:rsidP="00834AB8">
      <w:pPr>
        <w:jc w:val="both"/>
        <w:rPr>
          <w:rFonts w:ascii="Times New Roman" w:hAnsi="Times New Roman" w:cs="Times New Roman"/>
          <w:b/>
          <w:bCs/>
          <w:color w:val="156082" w:themeColor="accent1"/>
        </w:rPr>
      </w:pPr>
      <w:r w:rsidRPr="006052A6">
        <w:rPr>
          <w:rFonts w:ascii="Times New Roman" w:hAnsi="Times New Roman" w:cs="Times New Roman"/>
          <w:b/>
          <w:bCs/>
          <w:color w:val="156082" w:themeColor="accent1"/>
        </w:rPr>
        <w:t>C. ADDITIONAL DEFINITIONS</w:t>
      </w:r>
    </w:p>
    <w:p w14:paraId="7660E48F" w14:textId="77777777" w:rsidR="00834AB8" w:rsidRPr="00045408" w:rsidRDefault="00834AB8" w:rsidP="00834AB8">
      <w:pPr>
        <w:numPr>
          <w:ilvl w:val="0"/>
          <w:numId w:val="1"/>
        </w:numPr>
        <w:tabs>
          <w:tab w:val="clear" w:pos="360"/>
          <w:tab w:val="num" w:pos="720"/>
        </w:tabs>
        <w:jc w:val="both"/>
        <w:rPr>
          <w:rFonts w:ascii="Times New Roman" w:hAnsi="Times New Roman" w:cs="Times New Roman"/>
          <w:b/>
          <w:bCs/>
          <w:color w:val="156082" w:themeColor="accent1"/>
        </w:rPr>
      </w:pPr>
      <w:r w:rsidRPr="00045408">
        <w:rPr>
          <w:rFonts w:ascii="Times New Roman" w:hAnsi="Times New Roman" w:cs="Times New Roman"/>
          <w:b/>
          <w:bCs/>
          <w:color w:val="156082" w:themeColor="accent1"/>
        </w:rPr>
        <w:t>Lease Property</w:t>
      </w:r>
    </w:p>
    <w:p w14:paraId="7E2D26E0"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"Lease Property" means any parcel of land, site, property, survey number, plot, agricultural land, industrial land, government land, private land, or other immovable property proposed to be leased in connection with the Purpose.</w:t>
      </w:r>
    </w:p>
    <w:p w14:paraId="253952FE" w14:textId="77777777" w:rsidR="00834AB8" w:rsidRPr="00045408" w:rsidRDefault="00834AB8" w:rsidP="00834AB8">
      <w:pPr>
        <w:numPr>
          <w:ilvl w:val="0"/>
          <w:numId w:val="2"/>
        </w:numPr>
        <w:tabs>
          <w:tab w:val="clear" w:pos="360"/>
          <w:tab w:val="num" w:pos="720"/>
        </w:tabs>
        <w:jc w:val="both"/>
        <w:rPr>
          <w:rFonts w:ascii="Times New Roman" w:hAnsi="Times New Roman" w:cs="Times New Roman"/>
          <w:b/>
          <w:bCs/>
          <w:color w:val="156082" w:themeColor="accent1"/>
        </w:rPr>
      </w:pPr>
      <w:r w:rsidRPr="00045408">
        <w:rPr>
          <w:rFonts w:ascii="Times New Roman" w:hAnsi="Times New Roman" w:cs="Times New Roman"/>
          <w:b/>
          <w:bCs/>
          <w:color w:val="156082" w:themeColor="accent1"/>
        </w:rPr>
        <w:t>Lease Rights</w:t>
      </w:r>
    </w:p>
    <w:p w14:paraId="2331983E"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"Lease Rights" means leasehold rights, occupancy rights, possession rights, development rights, access rights, easement rights, transmission corridor rights, sublease rights, renewal rights, and other legal rights arising under a lease arrangement.</w:t>
      </w:r>
    </w:p>
    <w:p w14:paraId="40AA3E51" w14:textId="77777777" w:rsidR="00834AB8" w:rsidRPr="00045408" w:rsidRDefault="00834AB8" w:rsidP="00834AB8">
      <w:pPr>
        <w:numPr>
          <w:ilvl w:val="0"/>
          <w:numId w:val="3"/>
        </w:numPr>
        <w:tabs>
          <w:tab w:val="clear" w:pos="360"/>
          <w:tab w:val="num" w:pos="720"/>
        </w:tabs>
        <w:jc w:val="both"/>
        <w:rPr>
          <w:rFonts w:ascii="Times New Roman" w:hAnsi="Times New Roman" w:cs="Times New Roman"/>
          <w:b/>
          <w:bCs/>
          <w:color w:val="156082" w:themeColor="accent1"/>
        </w:rPr>
      </w:pPr>
      <w:r w:rsidRPr="00045408">
        <w:rPr>
          <w:rFonts w:ascii="Times New Roman" w:hAnsi="Times New Roman" w:cs="Times New Roman"/>
          <w:b/>
          <w:bCs/>
          <w:color w:val="156082" w:themeColor="accent1"/>
        </w:rPr>
        <w:t>Lease Information</w:t>
      </w:r>
    </w:p>
    <w:p w14:paraId="5E258151"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"Lease Information" means information relating to lease tenure, lease rentals, escalation mechanisms, renewal rights, lease obligations, development rights, and land use rights.</w:t>
      </w:r>
    </w:p>
    <w:p w14:paraId="5FDEDCBC" w14:textId="77777777" w:rsidR="00834AB8" w:rsidRPr="00045408" w:rsidRDefault="00834AB8" w:rsidP="00834AB8">
      <w:pPr>
        <w:numPr>
          <w:ilvl w:val="0"/>
          <w:numId w:val="4"/>
        </w:numPr>
        <w:tabs>
          <w:tab w:val="clear" w:pos="360"/>
          <w:tab w:val="num" w:pos="720"/>
        </w:tabs>
        <w:jc w:val="both"/>
        <w:rPr>
          <w:rFonts w:ascii="Times New Roman" w:hAnsi="Times New Roman" w:cs="Times New Roman"/>
          <w:b/>
          <w:bCs/>
          <w:color w:val="156082" w:themeColor="accent1"/>
        </w:rPr>
      </w:pPr>
      <w:r w:rsidRPr="00045408">
        <w:rPr>
          <w:rFonts w:ascii="Times New Roman" w:hAnsi="Times New Roman" w:cs="Times New Roman"/>
          <w:b/>
          <w:bCs/>
          <w:color w:val="156082" w:themeColor="accent1"/>
        </w:rPr>
        <w:t>Site Information</w:t>
      </w:r>
    </w:p>
    <w:p w14:paraId="03C7101C"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"Site Information" means information relating to project locations, land parcels, topography, accessibility, environmental conditions, land use classifications, zoning status, and project suitability.</w:t>
      </w:r>
    </w:p>
    <w:p w14:paraId="06C1C6A9" w14:textId="77777777" w:rsidR="00834AB8" w:rsidRPr="00045408" w:rsidRDefault="00834AB8" w:rsidP="00834AB8">
      <w:pPr>
        <w:numPr>
          <w:ilvl w:val="0"/>
          <w:numId w:val="5"/>
        </w:numPr>
        <w:tabs>
          <w:tab w:val="clear" w:pos="360"/>
          <w:tab w:val="num" w:pos="720"/>
        </w:tabs>
        <w:jc w:val="both"/>
        <w:rPr>
          <w:rFonts w:ascii="Times New Roman" w:hAnsi="Times New Roman" w:cs="Times New Roman"/>
          <w:b/>
          <w:bCs/>
          <w:color w:val="156082" w:themeColor="accent1"/>
        </w:rPr>
      </w:pPr>
      <w:r w:rsidRPr="00045408">
        <w:rPr>
          <w:rFonts w:ascii="Times New Roman" w:hAnsi="Times New Roman" w:cs="Times New Roman"/>
          <w:b/>
          <w:bCs/>
          <w:color w:val="156082" w:themeColor="accent1"/>
        </w:rPr>
        <w:t>Land Due Diligence</w:t>
      </w:r>
    </w:p>
    <w:p w14:paraId="52EEF59E"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lastRenderedPageBreak/>
        <w:t>"Land Due Diligence" means legal, regulatory, environmental, commercial, technical, and financial assessments relating to ownership, title, encumbrances, land use, zoning, access, and suitability of the Lease Property.</w:t>
      </w:r>
    </w:p>
    <w:p w14:paraId="34519F64" w14:textId="77777777" w:rsidR="00834AB8" w:rsidRPr="00045408" w:rsidRDefault="00834AB8" w:rsidP="00834AB8">
      <w:pPr>
        <w:numPr>
          <w:ilvl w:val="0"/>
          <w:numId w:val="6"/>
        </w:numPr>
        <w:tabs>
          <w:tab w:val="clear" w:pos="360"/>
          <w:tab w:val="num" w:pos="720"/>
        </w:tabs>
        <w:jc w:val="both"/>
        <w:rPr>
          <w:rFonts w:ascii="Times New Roman" w:hAnsi="Times New Roman" w:cs="Times New Roman"/>
          <w:b/>
          <w:bCs/>
          <w:color w:val="156082" w:themeColor="accent1"/>
        </w:rPr>
      </w:pPr>
      <w:r w:rsidRPr="00045408">
        <w:rPr>
          <w:rFonts w:ascii="Times New Roman" w:hAnsi="Times New Roman" w:cs="Times New Roman"/>
          <w:b/>
          <w:bCs/>
          <w:color w:val="156082" w:themeColor="accent1"/>
        </w:rPr>
        <w:t>Lease Documentation</w:t>
      </w:r>
    </w:p>
    <w:p w14:paraId="0CEE5DFD" w14:textId="5A454649"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"Lease Documentation" means lease deeds, lease agreements, memoranda of understanding, access agreements, easement agreements, title reports, due diligence reports, government approvals, and related transaction documentation.</w:t>
      </w:r>
    </w:p>
    <w:p w14:paraId="2F985B73" w14:textId="77777777" w:rsidR="00834AB8" w:rsidRPr="00045408" w:rsidRDefault="00834AB8" w:rsidP="00834AB8">
      <w:pPr>
        <w:jc w:val="both"/>
        <w:rPr>
          <w:rFonts w:ascii="Times New Roman" w:hAnsi="Times New Roman" w:cs="Times New Roman"/>
          <w:b/>
          <w:bCs/>
          <w:color w:val="156082" w:themeColor="accent1"/>
        </w:rPr>
      </w:pPr>
      <w:r w:rsidRPr="00045408">
        <w:rPr>
          <w:rFonts w:ascii="Times New Roman" w:hAnsi="Times New Roman" w:cs="Times New Roman"/>
          <w:b/>
          <w:bCs/>
          <w:color w:val="156082" w:themeColor="accent1"/>
        </w:rPr>
        <w:t>D. CONFIDENTIAL INFORMATION EXPANSION</w:t>
      </w:r>
    </w:p>
    <w:p w14:paraId="02F90886"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Without limitation, Confidential Information includes:</w:t>
      </w:r>
    </w:p>
    <w:p w14:paraId="26C8A392"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(a) lease opportunities, site lease opportunities, development rights opportunities, landowner arrangements, and project site opportunities;</w:t>
      </w:r>
    </w:p>
    <w:p w14:paraId="7A37D5EE"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(b) title deeds, ownership records, mutation records, revenue records, encumbrance records, and land ownership documentation;</w:t>
      </w:r>
    </w:p>
    <w:p w14:paraId="4B16FDA7"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(c) lease rentals, escalation mechanisms, security deposits, compensation structures, revenue-sharing arrangements, and commercial terms;</w:t>
      </w:r>
    </w:p>
    <w:p w14:paraId="4C0DC29D"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(d) lease tenure structures, renewal rights, extension rights, termination rights, assignment rights, and sublease arrangements;</w:t>
      </w:r>
    </w:p>
    <w:p w14:paraId="46EFDDCC"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(e) title reports, title opinions, legal assessments, due diligence reports, regulatory assessments, and land verification reports;</w:t>
      </w:r>
    </w:p>
    <w:p w14:paraId="7B1CB000"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(f) survey reports, topographical surveys, geotechnical surveys, environmental studies, site assessments, and feasibility studies;</w:t>
      </w:r>
    </w:p>
    <w:p w14:paraId="1698E87D"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(g) zoning information, land conversion information, land use information, planning permissions, development approvals, and regulatory approvals;</w:t>
      </w:r>
    </w:p>
    <w:p w14:paraId="031BB9E3"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(h) negotiations with landowners, government authorities, local authorities, consultants, intermediaries, and project development partners;</w:t>
      </w:r>
    </w:p>
    <w:p w14:paraId="59B6EEF6"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w:t>
      </w:r>
      <w:proofErr w:type="spellStart"/>
      <w:r w:rsidRPr="00834AB8">
        <w:rPr>
          <w:rFonts w:ascii="Times New Roman" w:hAnsi="Times New Roman" w:cs="Times New Roman"/>
          <w:color w:val="156082" w:themeColor="accent1"/>
        </w:rPr>
        <w:t>i</w:t>
      </w:r>
      <w:proofErr w:type="spellEnd"/>
      <w:r w:rsidRPr="00834AB8">
        <w:rPr>
          <w:rFonts w:ascii="Times New Roman" w:hAnsi="Times New Roman" w:cs="Times New Roman"/>
          <w:color w:val="156082" w:themeColor="accent1"/>
        </w:rPr>
        <w:t>) access rights, easement rights, transmission corridor rights, infrastructure access rights, utility access rights, and road access arrangements;</w:t>
      </w:r>
    </w:p>
    <w:p w14:paraId="59FA47BB"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(j) project layouts, development plans, engineering assessments, site plans, infrastructure plans, and project implementation strategies;</w:t>
      </w:r>
    </w:p>
    <w:p w14:paraId="719EC525"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(k) financing arrangements, lease financing structures, lender requirements, investor requirements, and project funding considerations;</w:t>
      </w:r>
    </w:p>
    <w:p w14:paraId="72FE1213"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(l) lease agreements, transaction documents, government correspondence, regulatory submissions, approval documentation, and contractual arrangements; and</w:t>
      </w:r>
    </w:p>
    <w:p w14:paraId="15D748A9" w14:textId="3371798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lastRenderedPageBreak/>
        <w:t>(m) any other legal, commercial, financial, technical, environmental, regulatory, land-related, lease-related, renewable-energy-related, strategic, or proprietary information disclosed in connection with the Land Lease Arrangement.</w:t>
      </w:r>
    </w:p>
    <w:p w14:paraId="7F0B39E2" w14:textId="77777777" w:rsidR="00834AB8" w:rsidRPr="00045408" w:rsidRDefault="00834AB8" w:rsidP="00834AB8">
      <w:pPr>
        <w:jc w:val="both"/>
        <w:rPr>
          <w:rFonts w:ascii="Times New Roman" w:hAnsi="Times New Roman" w:cs="Times New Roman"/>
          <w:b/>
          <w:bCs/>
          <w:color w:val="156082" w:themeColor="accent1"/>
        </w:rPr>
      </w:pPr>
      <w:r w:rsidRPr="00045408">
        <w:rPr>
          <w:rFonts w:ascii="Times New Roman" w:hAnsi="Times New Roman" w:cs="Times New Roman"/>
          <w:b/>
          <w:bCs/>
          <w:color w:val="156082" w:themeColor="accent1"/>
        </w:rPr>
        <w:t>E. OPTIONAL INTRODUCED CONTACTS DATASET</w:t>
      </w:r>
    </w:p>
    <w:p w14:paraId="6CB87FAC" w14:textId="77777777" w:rsidR="00834AB8" w:rsidRPr="00834AB8" w:rsidRDefault="00834AB8" w:rsidP="00834AB8">
      <w:pPr>
        <w:jc w:val="both"/>
        <w:rPr>
          <w:rFonts w:ascii="Times New Roman" w:hAnsi="Times New Roman" w:cs="Times New Roman"/>
          <w:color w:val="156082" w:themeColor="accent1"/>
        </w:rPr>
      </w:pPr>
      <w:proofErr w:type="gramStart"/>
      <w:r w:rsidRPr="00834AB8">
        <w:rPr>
          <w:rFonts w:ascii="Times New Roman" w:hAnsi="Times New Roman" w:cs="Times New Roman"/>
          <w:color w:val="156082" w:themeColor="accent1"/>
        </w:rPr>
        <w:t>Land Owners</w:t>
      </w:r>
      <w:proofErr w:type="gramEnd"/>
    </w:p>
    <w:p w14:paraId="7D06CAF6"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Lessors</w:t>
      </w:r>
    </w:p>
    <w:p w14:paraId="08A54BB6"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Lessees</w:t>
      </w:r>
    </w:p>
    <w:p w14:paraId="485640D6"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Project Developers</w:t>
      </w:r>
    </w:p>
    <w:p w14:paraId="300222AB"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Project Originators</w:t>
      </w:r>
    </w:p>
    <w:p w14:paraId="5CF8B430"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Land Aggregators</w:t>
      </w:r>
    </w:p>
    <w:p w14:paraId="4C258CDF"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Real Estate Consultants</w:t>
      </w:r>
    </w:p>
    <w:p w14:paraId="579A3561"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Revenue Authorities</w:t>
      </w:r>
    </w:p>
    <w:p w14:paraId="51FEB96E"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Government Authorities</w:t>
      </w:r>
    </w:p>
    <w:p w14:paraId="341CA015"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Local Authorities</w:t>
      </w:r>
    </w:p>
    <w:p w14:paraId="4936076A"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Village Authorities</w:t>
      </w:r>
    </w:p>
    <w:p w14:paraId="38C759C8"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Legal Advisors</w:t>
      </w:r>
    </w:p>
    <w:p w14:paraId="52CC1330"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Title Consultants</w:t>
      </w:r>
    </w:p>
    <w:p w14:paraId="7A0907DA"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Surveyors</w:t>
      </w:r>
    </w:p>
    <w:p w14:paraId="477F3A38"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Environmental Consultants</w:t>
      </w:r>
    </w:p>
    <w:p w14:paraId="76E95247"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Independent Engineers</w:t>
      </w:r>
    </w:p>
    <w:p w14:paraId="7006691F"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Investors</w:t>
      </w:r>
    </w:p>
    <w:p w14:paraId="40FBC9DD"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Lenders</w:t>
      </w:r>
    </w:p>
    <w:p w14:paraId="167C0A04"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Banks</w:t>
      </w:r>
    </w:p>
    <w:p w14:paraId="2F98F00E"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Infrastructure Funds</w:t>
      </w:r>
    </w:p>
    <w:p w14:paraId="193E1032"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Regulatory Authorities</w:t>
      </w:r>
    </w:p>
    <w:p w14:paraId="7D001019" w14:textId="77777777" w:rsidR="00834AB8" w:rsidRPr="00834AB8" w:rsidRDefault="00834AB8" w:rsidP="00834AB8">
      <w:pPr>
        <w:jc w:val="both"/>
        <w:rPr>
          <w:rFonts w:ascii="Times New Roman" w:hAnsi="Times New Roman" w:cs="Times New Roman"/>
          <w:color w:val="156082" w:themeColor="accent1"/>
        </w:rPr>
      </w:pPr>
      <w:r w:rsidRPr="00834AB8">
        <w:rPr>
          <w:rFonts w:ascii="Times New Roman" w:hAnsi="Times New Roman" w:cs="Times New Roman"/>
          <w:color w:val="156082" w:themeColor="accent1"/>
        </w:rPr>
        <w:t>Strategic Partners</w:t>
      </w:r>
    </w:p>
    <w:p w14:paraId="64E7AE39" w14:textId="77777777" w:rsidR="00834AB8" w:rsidRPr="00834AB8" w:rsidRDefault="00834AB8" w:rsidP="00834AB8">
      <w:pPr>
        <w:jc w:val="both"/>
        <w:rPr>
          <w:rFonts w:ascii="Times New Roman" w:hAnsi="Times New Roman" w:cs="Times New Roman"/>
          <w:color w:val="156082" w:themeColor="accent1"/>
        </w:rPr>
      </w:pPr>
    </w:p>
    <w:sectPr w:rsidR="00834AB8" w:rsidRPr="00834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508"/>
    <w:multiLevelType w:val="multilevel"/>
    <w:tmpl w:val="288E1E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9C6293F"/>
    <w:multiLevelType w:val="multilevel"/>
    <w:tmpl w:val="2C0A0154"/>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5E90B2C"/>
    <w:multiLevelType w:val="multilevel"/>
    <w:tmpl w:val="9B58FE1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2C7185B"/>
    <w:multiLevelType w:val="multilevel"/>
    <w:tmpl w:val="13284F5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85B3D5C"/>
    <w:multiLevelType w:val="multilevel"/>
    <w:tmpl w:val="6FC4334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C9D1AA8"/>
    <w:multiLevelType w:val="multilevel"/>
    <w:tmpl w:val="899EFCA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73849949">
    <w:abstractNumId w:val="0"/>
  </w:num>
  <w:num w:numId="2" w16cid:durableId="1072510061">
    <w:abstractNumId w:val="5"/>
  </w:num>
  <w:num w:numId="3" w16cid:durableId="1460958063">
    <w:abstractNumId w:val="4"/>
  </w:num>
  <w:num w:numId="4" w16cid:durableId="243149964">
    <w:abstractNumId w:val="3"/>
  </w:num>
  <w:num w:numId="5" w16cid:durableId="1093746832">
    <w:abstractNumId w:val="2"/>
  </w:num>
  <w:num w:numId="6" w16cid:durableId="879243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B8"/>
    <w:rsid w:val="00045408"/>
    <w:rsid w:val="00151117"/>
    <w:rsid w:val="001D50F3"/>
    <w:rsid w:val="006052A6"/>
    <w:rsid w:val="00834A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C2E2E"/>
  <w15:chartTrackingRefBased/>
  <w15:docId w15:val="{7E4E61DC-DFDF-4D11-ADFB-6682A0A9C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AB8"/>
    <w:rPr>
      <w:rFonts w:eastAsiaTheme="majorEastAsia" w:cstheme="majorBidi"/>
      <w:color w:val="272727" w:themeColor="text1" w:themeTint="D8"/>
    </w:rPr>
  </w:style>
  <w:style w:type="paragraph" w:styleId="Title">
    <w:name w:val="Title"/>
    <w:basedOn w:val="Normal"/>
    <w:next w:val="Normal"/>
    <w:link w:val="TitleChar"/>
    <w:uiPriority w:val="10"/>
    <w:qFormat/>
    <w:rsid w:val="00834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AB8"/>
    <w:pPr>
      <w:spacing w:before="160"/>
      <w:jc w:val="center"/>
    </w:pPr>
    <w:rPr>
      <w:i/>
      <w:iCs/>
      <w:color w:val="404040" w:themeColor="text1" w:themeTint="BF"/>
    </w:rPr>
  </w:style>
  <w:style w:type="character" w:customStyle="1" w:styleId="QuoteChar">
    <w:name w:val="Quote Char"/>
    <w:basedOn w:val="DefaultParagraphFont"/>
    <w:link w:val="Quote"/>
    <w:uiPriority w:val="29"/>
    <w:rsid w:val="00834AB8"/>
    <w:rPr>
      <w:i/>
      <w:iCs/>
      <w:color w:val="404040" w:themeColor="text1" w:themeTint="BF"/>
    </w:rPr>
  </w:style>
  <w:style w:type="paragraph" w:styleId="ListParagraph">
    <w:name w:val="List Paragraph"/>
    <w:basedOn w:val="Normal"/>
    <w:uiPriority w:val="34"/>
    <w:qFormat/>
    <w:rsid w:val="00834AB8"/>
    <w:pPr>
      <w:ind w:left="720"/>
      <w:contextualSpacing/>
    </w:pPr>
  </w:style>
  <w:style w:type="character" w:styleId="IntenseEmphasis">
    <w:name w:val="Intense Emphasis"/>
    <w:basedOn w:val="DefaultParagraphFont"/>
    <w:uiPriority w:val="21"/>
    <w:qFormat/>
    <w:rsid w:val="00834AB8"/>
    <w:rPr>
      <w:i/>
      <w:iCs/>
      <w:color w:val="0F4761" w:themeColor="accent1" w:themeShade="BF"/>
    </w:rPr>
  </w:style>
  <w:style w:type="paragraph" w:styleId="IntenseQuote">
    <w:name w:val="Intense Quote"/>
    <w:basedOn w:val="Normal"/>
    <w:next w:val="Normal"/>
    <w:link w:val="IntenseQuoteChar"/>
    <w:uiPriority w:val="30"/>
    <w:qFormat/>
    <w:rsid w:val="00834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AB8"/>
    <w:rPr>
      <w:i/>
      <w:iCs/>
      <w:color w:val="0F4761" w:themeColor="accent1" w:themeShade="BF"/>
    </w:rPr>
  </w:style>
  <w:style w:type="character" w:styleId="IntenseReference">
    <w:name w:val="Intense Reference"/>
    <w:basedOn w:val="DefaultParagraphFont"/>
    <w:uiPriority w:val="32"/>
    <w:qFormat/>
    <w:rsid w:val="00834A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737</Words>
  <Characters>4205</Characters>
  <Application>Microsoft Office Word</Application>
  <DocSecurity>0</DocSecurity>
  <Lines>35</Lines>
  <Paragraphs>9</Paragraphs>
  <ScaleCrop>false</ScaleCrop>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4</cp:revision>
  <dcterms:created xsi:type="dcterms:W3CDTF">2026-06-09T18:45:00Z</dcterms:created>
  <dcterms:modified xsi:type="dcterms:W3CDTF">2026-06-09T18:49:00Z</dcterms:modified>
</cp:coreProperties>
</file>