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1EB50" w14:textId="77777777" w:rsidR="00A0021F" w:rsidRPr="00A0021F" w:rsidRDefault="00A0021F" w:rsidP="00A0021F">
      <w:pPr>
        <w:jc w:val="center"/>
        <w:rPr>
          <w:rFonts w:ascii="Times New Roman" w:hAnsi="Times New Roman" w:cs="Times New Roman"/>
          <w:b/>
          <w:bCs/>
          <w:color w:val="156082" w:themeColor="accent1"/>
          <w:u w:val="single"/>
        </w:rPr>
      </w:pPr>
      <w:r w:rsidRPr="00A0021F">
        <w:rPr>
          <w:rFonts w:ascii="Times New Roman" w:hAnsi="Times New Roman" w:cs="Times New Roman"/>
          <w:b/>
          <w:bCs/>
          <w:color w:val="156082" w:themeColor="accent1"/>
          <w:u w:val="single"/>
        </w:rPr>
        <w:t>RE-13 – RIGHT OF WAY (ROW) DISCUSSIONS</w:t>
      </w:r>
    </w:p>
    <w:p w14:paraId="6E9D2F9B" w14:textId="77777777" w:rsidR="00A0021F" w:rsidRPr="00A0021F" w:rsidRDefault="00A0021F" w:rsidP="00A0021F">
      <w:pPr>
        <w:jc w:val="both"/>
        <w:rPr>
          <w:rFonts w:ascii="Times New Roman" w:hAnsi="Times New Roman" w:cs="Times New Roman"/>
          <w:b/>
          <w:bCs/>
          <w:color w:val="156082" w:themeColor="accent1"/>
        </w:rPr>
      </w:pPr>
      <w:r w:rsidRPr="00A0021F">
        <w:rPr>
          <w:rFonts w:ascii="Times New Roman" w:hAnsi="Times New Roman" w:cs="Times New Roman"/>
          <w:b/>
          <w:bCs/>
          <w:color w:val="156082" w:themeColor="accent1"/>
        </w:rPr>
        <w:t>A. PURPOSE DEFINITION</w:t>
      </w:r>
    </w:p>
    <w:p w14:paraId="4B4DAB94" w14:textId="47AE2430"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"Purpose" means the evaluation, discussion, negotiation, acquisition, grant, development, financing, management, transfer, implementation, or potential establishment of right of way rights, easement rights, access rights, utility corridor rights, transmission corridor rights, cable route rights, infrastructure access rights, or related land-use arrangements for renewable energy projects and associated infrastructure.</w:t>
      </w:r>
    </w:p>
    <w:p w14:paraId="7DBC2FD1" w14:textId="77777777" w:rsidR="00A0021F" w:rsidRPr="00A0021F" w:rsidRDefault="00A0021F" w:rsidP="00A0021F">
      <w:pPr>
        <w:jc w:val="both"/>
        <w:rPr>
          <w:rFonts w:ascii="Times New Roman" w:hAnsi="Times New Roman" w:cs="Times New Roman"/>
          <w:b/>
          <w:bCs/>
          <w:color w:val="156082" w:themeColor="accent1"/>
        </w:rPr>
      </w:pPr>
      <w:r w:rsidRPr="00A0021F">
        <w:rPr>
          <w:rFonts w:ascii="Times New Roman" w:hAnsi="Times New Roman" w:cs="Times New Roman"/>
          <w:b/>
          <w:bCs/>
          <w:color w:val="156082" w:themeColor="accent1"/>
        </w:rPr>
        <w:t>B. RECITAL VARIANT</w:t>
      </w:r>
    </w:p>
    <w:p w14:paraId="37836A13" w14:textId="77777777" w:rsidR="00A0021F" w:rsidRPr="00A0021F" w:rsidRDefault="00A0021F" w:rsidP="00A0021F">
      <w:pPr>
        <w:jc w:val="both"/>
        <w:rPr>
          <w:rFonts w:ascii="Times New Roman" w:hAnsi="Times New Roman" w:cs="Times New Roman"/>
          <w:color w:val="156082" w:themeColor="accent1"/>
        </w:rPr>
      </w:pPr>
      <w:proofErr w:type="gramStart"/>
      <w:r w:rsidRPr="00A0021F">
        <w:rPr>
          <w:rFonts w:ascii="Times New Roman" w:hAnsi="Times New Roman" w:cs="Times New Roman"/>
          <w:color w:val="156082" w:themeColor="accent1"/>
        </w:rPr>
        <w:t>WHEREAS,</w:t>
      </w:r>
      <w:proofErr w:type="gramEnd"/>
      <w:r w:rsidRPr="00A0021F">
        <w:rPr>
          <w:rFonts w:ascii="Times New Roman" w:hAnsi="Times New Roman" w:cs="Times New Roman"/>
          <w:color w:val="156082" w:themeColor="accent1"/>
        </w:rPr>
        <w:t xml:space="preserve"> the Parties desire to evaluate and discuss one or more right of way opportunities, easement arrangements, access rights, transmission corridor arrangements, infrastructure corridor opportunities, or related commercial arrangements;</w:t>
      </w:r>
    </w:p>
    <w:p w14:paraId="47892C33"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WHEREAS, in connection with such discussions, evaluations, due diligence activities, negotiations, and assessments, the Parties may disclose and exchange confidential legal, commercial, financial, technical, environmental, regulatory, infrastructure-related, and proprietary information;</w:t>
      </w:r>
    </w:p>
    <w:p w14:paraId="40E61485" w14:textId="2143E1F7" w:rsidR="00A0021F" w:rsidRPr="00A0021F" w:rsidRDefault="00A0021F" w:rsidP="00A0021F">
      <w:pPr>
        <w:jc w:val="both"/>
        <w:rPr>
          <w:rFonts w:ascii="Times New Roman" w:hAnsi="Times New Roman" w:cs="Times New Roman"/>
          <w:color w:val="156082" w:themeColor="accent1"/>
        </w:rPr>
      </w:pPr>
      <w:proofErr w:type="gramStart"/>
      <w:r w:rsidRPr="00A0021F">
        <w:rPr>
          <w:rFonts w:ascii="Times New Roman" w:hAnsi="Times New Roman" w:cs="Times New Roman"/>
          <w:color w:val="156082" w:themeColor="accent1"/>
        </w:rPr>
        <w:t>WHEREAS,</w:t>
      </w:r>
      <w:proofErr w:type="gramEnd"/>
      <w:r w:rsidRPr="00A0021F">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55ADFC45" w14:textId="77777777" w:rsidR="00A0021F" w:rsidRPr="00A0021F" w:rsidRDefault="00A0021F" w:rsidP="00A0021F">
      <w:pPr>
        <w:jc w:val="both"/>
        <w:rPr>
          <w:rFonts w:ascii="Times New Roman" w:hAnsi="Times New Roman" w:cs="Times New Roman"/>
          <w:b/>
          <w:bCs/>
          <w:color w:val="156082" w:themeColor="accent1"/>
        </w:rPr>
      </w:pPr>
      <w:r w:rsidRPr="00A0021F">
        <w:rPr>
          <w:rFonts w:ascii="Times New Roman" w:hAnsi="Times New Roman" w:cs="Times New Roman"/>
          <w:b/>
          <w:bCs/>
          <w:color w:val="156082" w:themeColor="accent1"/>
        </w:rPr>
        <w:t>C. ADDITIONAL DEFINITIONS</w:t>
      </w:r>
    </w:p>
    <w:p w14:paraId="0EB3C7A0" w14:textId="77777777" w:rsidR="00A0021F" w:rsidRPr="00A0021F" w:rsidRDefault="00A0021F" w:rsidP="00A0021F">
      <w:pPr>
        <w:numPr>
          <w:ilvl w:val="0"/>
          <w:numId w:val="1"/>
        </w:numPr>
        <w:tabs>
          <w:tab w:val="clear" w:pos="360"/>
          <w:tab w:val="num" w:pos="720"/>
        </w:tabs>
        <w:jc w:val="both"/>
        <w:rPr>
          <w:rFonts w:ascii="Times New Roman" w:hAnsi="Times New Roman" w:cs="Times New Roman"/>
          <w:b/>
          <w:bCs/>
          <w:color w:val="156082" w:themeColor="accent1"/>
        </w:rPr>
      </w:pPr>
      <w:r w:rsidRPr="00A0021F">
        <w:rPr>
          <w:rFonts w:ascii="Times New Roman" w:hAnsi="Times New Roman" w:cs="Times New Roman"/>
          <w:b/>
          <w:bCs/>
          <w:color w:val="156082" w:themeColor="accent1"/>
        </w:rPr>
        <w:t>Right of Way</w:t>
      </w:r>
    </w:p>
    <w:p w14:paraId="21FDEF76"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"Right of Way" or "ROW" means any legal right permitting access, passage, installation, construction, operation, maintenance, replacement, repair, inspection, or use of land or property for infrastructure purposes.</w:t>
      </w:r>
    </w:p>
    <w:p w14:paraId="25D84D66" w14:textId="77777777" w:rsidR="00A0021F" w:rsidRPr="00A0021F" w:rsidRDefault="00A0021F" w:rsidP="00A0021F">
      <w:pPr>
        <w:numPr>
          <w:ilvl w:val="0"/>
          <w:numId w:val="2"/>
        </w:numPr>
        <w:tabs>
          <w:tab w:val="clear" w:pos="360"/>
          <w:tab w:val="num" w:pos="720"/>
        </w:tabs>
        <w:jc w:val="both"/>
        <w:rPr>
          <w:rFonts w:ascii="Times New Roman" w:hAnsi="Times New Roman" w:cs="Times New Roman"/>
          <w:b/>
          <w:bCs/>
          <w:color w:val="156082" w:themeColor="accent1"/>
        </w:rPr>
      </w:pPr>
      <w:r w:rsidRPr="00A0021F">
        <w:rPr>
          <w:rFonts w:ascii="Times New Roman" w:hAnsi="Times New Roman" w:cs="Times New Roman"/>
          <w:b/>
          <w:bCs/>
          <w:color w:val="156082" w:themeColor="accent1"/>
        </w:rPr>
        <w:t>Easement Rights</w:t>
      </w:r>
    </w:p>
    <w:p w14:paraId="761DF920"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"Easement Rights" means rights relating to access, ingress, egress, utility installation, cable routes, transmission infrastructure, road access, drainage, maintenance access, or other land-use rights granted over property owned by another person.</w:t>
      </w:r>
    </w:p>
    <w:p w14:paraId="76EB2DDE" w14:textId="77777777" w:rsidR="00A0021F" w:rsidRPr="00A0021F" w:rsidRDefault="00A0021F" w:rsidP="00A0021F">
      <w:pPr>
        <w:numPr>
          <w:ilvl w:val="0"/>
          <w:numId w:val="3"/>
        </w:numPr>
        <w:tabs>
          <w:tab w:val="clear" w:pos="360"/>
          <w:tab w:val="num" w:pos="720"/>
        </w:tabs>
        <w:jc w:val="both"/>
        <w:rPr>
          <w:rFonts w:ascii="Times New Roman" w:hAnsi="Times New Roman" w:cs="Times New Roman"/>
          <w:b/>
          <w:bCs/>
          <w:color w:val="156082" w:themeColor="accent1"/>
        </w:rPr>
      </w:pPr>
      <w:r w:rsidRPr="00A0021F">
        <w:rPr>
          <w:rFonts w:ascii="Times New Roman" w:hAnsi="Times New Roman" w:cs="Times New Roman"/>
          <w:b/>
          <w:bCs/>
          <w:color w:val="156082" w:themeColor="accent1"/>
        </w:rPr>
        <w:t>Corridor Information</w:t>
      </w:r>
    </w:p>
    <w:p w14:paraId="374B978F"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"Corridor Information" means information relating to transmission corridors, cable corridors, utility corridors, road corridors, evacuation corridors, infrastructure corridors, and associated routes.</w:t>
      </w:r>
    </w:p>
    <w:p w14:paraId="6A0210CE" w14:textId="77777777" w:rsidR="00A0021F" w:rsidRPr="00A0021F" w:rsidRDefault="00A0021F" w:rsidP="00A0021F">
      <w:pPr>
        <w:numPr>
          <w:ilvl w:val="0"/>
          <w:numId w:val="4"/>
        </w:numPr>
        <w:tabs>
          <w:tab w:val="clear" w:pos="360"/>
          <w:tab w:val="num" w:pos="720"/>
        </w:tabs>
        <w:jc w:val="both"/>
        <w:rPr>
          <w:rFonts w:ascii="Times New Roman" w:hAnsi="Times New Roman" w:cs="Times New Roman"/>
          <w:b/>
          <w:bCs/>
          <w:color w:val="156082" w:themeColor="accent1"/>
        </w:rPr>
      </w:pPr>
      <w:r w:rsidRPr="00A0021F">
        <w:rPr>
          <w:rFonts w:ascii="Times New Roman" w:hAnsi="Times New Roman" w:cs="Times New Roman"/>
          <w:b/>
          <w:bCs/>
          <w:color w:val="156082" w:themeColor="accent1"/>
        </w:rPr>
        <w:t>Access Rights</w:t>
      </w:r>
    </w:p>
    <w:p w14:paraId="6C4B9017"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"Access Rights" means rights relating to entry, movement, transportation, inspection, construction access, maintenance access, operational access, emergency access, and related activities.</w:t>
      </w:r>
    </w:p>
    <w:p w14:paraId="29E3B9B8" w14:textId="77777777" w:rsidR="00A0021F" w:rsidRPr="00A0021F" w:rsidRDefault="00A0021F" w:rsidP="00A0021F">
      <w:pPr>
        <w:numPr>
          <w:ilvl w:val="0"/>
          <w:numId w:val="5"/>
        </w:numPr>
        <w:tabs>
          <w:tab w:val="clear" w:pos="360"/>
          <w:tab w:val="num" w:pos="720"/>
        </w:tabs>
        <w:jc w:val="both"/>
        <w:rPr>
          <w:rFonts w:ascii="Times New Roman" w:hAnsi="Times New Roman" w:cs="Times New Roman"/>
          <w:b/>
          <w:bCs/>
          <w:color w:val="156082" w:themeColor="accent1"/>
        </w:rPr>
      </w:pPr>
      <w:r w:rsidRPr="00A0021F">
        <w:rPr>
          <w:rFonts w:ascii="Times New Roman" w:hAnsi="Times New Roman" w:cs="Times New Roman"/>
          <w:b/>
          <w:bCs/>
          <w:color w:val="156082" w:themeColor="accent1"/>
        </w:rPr>
        <w:t>Infrastructure Information</w:t>
      </w:r>
    </w:p>
    <w:p w14:paraId="205888F5"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lastRenderedPageBreak/>
        <w:t>"Infrastructure Information" means information relating to transmission lines, substations, underground cables, overhead lines, access roads, drainage systems, communication systems, and associated infrastructure.</w:t>
      </w:r>
    </w:p>
    <w:p w14:paraId="7F8AF2EC" w14:textId="77777777" w:rsidR="00A0021F" w:rsidRPr="00A0021F" w:rsidRDefault="00A0021F" w:rsidP="00A0021F">
      <w:pPr>
        <w:numPr>
          <w:ilvl w:val="0"/>
          <w:numId w:val="6"/>
        </w:numPr>
        <w:tabs>
          <w:tab w:val="clear" w:pos="360"/>
          <w:tab w:val="num" w:pos="720"/>
        </w:tabs>
        <w:jc w:val="both"/>
        <w:rPr>
          <w:rFonts w:ascii="Times New Roman" w:hAnsi="Times New Roman" w:cs="Times New Roman"/>
          <w:b/>
          <w:bCs/>
          <w:color w:val="156082" w:themeColor="accent1"/>
        </w:rPr>
      </w:pPr>
      <w:r w:rsidRPr="00A0021F">
        <w:rPr>
          <w:rFonts w:ascii="Times New Roman" w:hAnsi="Times New Roman" w:cs="Times New Roman"/>
          <w:b/>
          <w:bCs/>
          <w:color w:val="156082" w:themeColor="accent1"/>
        </w:rPr>
        <w:t>ROW Documentation</w:t>
      </w:r>
    </w:p>
    <w:p w14:paraId="6D16B92D" w14:textId="615A244A"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"ROW Documentation" means easement agreements, access agreements, right of way agreements, government approvals, permits, land records, title documents, surveys, route studies, and related documentation.</w:t>
      </w:r>
    </w:p>
    <w:p w14:paraId="1BCAF7AC" w14:textId="77777777" w:rsidR="00A0021F" w:rsidRPr="00A0021F" w:rsidRDefault="00A0021F" w:rsidP="00A0021F">
      <w:pPr>
        <w:jc w:val="both"/>
        <w:rPr>
          <w:rFonts w:ascii="Times New Roman" w:hAnsi="Times New Roman" w:cs="Times New Roman"/>
          <w:b/>
          <w:bCs/>
          <w:color w:val="156082" w:themeColor="accent1"/>
        </w:rPr>
      </w:pPr>
      <w:r w:rsidRPr="00A0021F">
        <w:rPr>
          <w:rFonts w:ascii="Times New Roman" w:hAnsi="Times New Roman" w:cs="Times New Roman"/>
          <w:b/>
          <w:bCs/>
          <w:color w:val="156082" w:themeColor="accent1"/>
        </w:rPr>
        <w:t>D. CONFIDENTIAL INFORMATION EXPANSION</w:t>
      </w:r>
    </w:p>
    <w:p w14:paraId="548C52EE"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Without limitation, Confidential Information includes:</w:t>
      </w:r>
    </w:p>
    <w:p w14:paraId="26565F50"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(a) transmission corridor opportunities, cable route opportunities, access route opportunities, utility corridor opportunities, and infrastructure corridor opportunities;</w:t>
      </w:r>
    </w:p>
    <w:p w14:paraId="5A933449"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(b) route surveys, route alignments, corridor studies, route optimization studies, transmission studies, and infrastructure planning assessments;</w:t>
      </w:r>
    </w:p>
    <w:p w14:paraId="5C49C583"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(c) land ownership information, title information, revenue records, land-use information, easement information, and corridor ownership information;</w:t>
      </w:r>
    </w:p>
    <w:p w14:paraId="152B0923"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(d) access rights arrangements, easement rights arrangements, compensation structures, commercial arrangements, and landowner negotiations;</w:t>
      </w:r>
    </w:p>
    <w:p w14:paraId="2F0A2F53"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(e) route maps, engineering drawings, corridor layouts, cable layouts, transmission line layouts, and infrastructure plans;</w:t>
      </w:r>
    </w:p>
    <w:p w14:paraId="34C6520E"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(f) environmental studies, social impact assessments, route impact assessments, permitting studies, and regulatory assessments;</w:t>
      </w:r>
    </w:p>
    <w:p w14:paraId="3746A0D4"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(g) negotiations with landowners, government authorities, local authorities, utilities, infrastructure owners, consultants, and project stakeholders;</w:t>
      </w:r>
    </w:p>
    <w:p w14:paraId="2B94B245"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(h) compensation structures, acquisition costs, corridor costs, route development costs, valuation reports, and financial assessments;</w:t>
      </w:r>
    </w:p>
    <w:p w14:paraId="0287BEF6"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w:t>
      </w:r>
      <w:proofErr w:type="spellStart"/>
      <w:r w:rsidRPr="00A0021F">
        <w:rPr>
          <w:rFonts w:ascii="Times New Roman" w:hAnsi="Times New Roman" w:cs="Times New Roman"/>
          <w:color w:val="156082" w:themeColor="accent1"/>
        </w:rPr>
        <w:t>i</w:t>
      </w:r>
      <w:proofErr w:type="spellEnd"/>
      <w:r w:rsidRPr="00A0021F">
        <w:rPr>
          <w:rFonts w:ascii="Times New Roman" w:hAnsi="Times New Roman" w:cs="Times New Roman"/>
          <w:color w:val="156082" w:themeColor="accent1"/>
        </w:rPr>
        <w:t>) permits, approvals, licenses, regulatory clearances, statutory approvals, environmental approvals, and governmental correspondence;</w:t>
      </w:r>
    </w:p>
    <w:p w14:paraId="2CB59831"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(j) construction methodologies, installation plans, maintenance strategies, inspection plans, operational procedures, and emergency access procedures;</w:t>
      </w:r>
    </w:p>
    <w:p w14:paraId="4D9C6BD1"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(k) project schedules, corridor development schedules, implementation plans, route development plans, and infrastructure deployment plans;</w:t>
      </w:r>
    </w:p>
    <w:p w14:paraId="04E0FD82"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(l) financing arrangements, lender requirements, investor requirements, project funding assessments, and infrastructure investment opportunities; and</w:t>
      </w:r>
    </w:p>
    <w:p w14:paraId="6D057E1D" w14:textId="5AEE86B2"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lastRenderedPageBreak/>
        <w:t>(m) any other legal, commercial, financial, technical, environmental, regulatory, infrastructure-related, transmission-related, access-related, renewable-energy-related, strategic, or proprietary information disclosed in connection with the Right of Way Arrangement.</w:t>
      </w:r>
    </w:p>
    <w:p w14:paraId="06C41D8B" w14:textId="77777777" w:rsidR="00A0021F" w:rsidRPr="00A0021F" w:rsidRDefault="00A0021F" w:rsidP="00A0021F">
      <w:pPr>
        <w:jc w:val="both"/>
        <w:rPr>
          <w:rFonts w:ascii="Times New Roman" w:hAnsi="Times New Roman" w:cs="Times New Roman"/>
          <w:b/>
          <w:bCs/>
          <w:color w:val="156082" w:themeColor="accent1"/>
        </w:rPr>
      </w:pPr>
      <w:r w:rsidRPr="00A0021F">
        <w:rPr>
          <w:rFonts w:ascii="Times New Roman" w:hAnsi="Times New Roman" w:cs="Times New Roman"/>
          <w:b/>
          <w:bCs/>
          <w:color w:val="156082" w:themeColor="accent1"/>
        </w:rPr>
        <w:t>E. OPTIONAL INTRODUCED CONTACTS DATASET</w:t>
      </w:r>
    </w:p>
    <w:p w14:paraId="2CAE0C7A" w14:textId="77777777" w:rsidR="00A0021F" w:rsidRPr="00A0021F" w:rsidRDefault="00A0021F" w:rsidP="00A0021F">
      <w:pPr>
        <w:jc w:val="both"/>
        <w:rPr>
          <w:rFonts w:ascii="Times New Roman" w:hAnsi="Times New Roman" w:cs="Times New Roman"/>
          <w:color w:val="156082" w:themeColor="accent1"/>
        </w:rPr>
      </w:pPr>
      <w:proofErr w:type="gramStart"/>
      <w:r w:rsidRPr="00A0021F">
        <w:rPr>
          <w:rFonts w:ascii="Times New Roman" w:hAnsi="Times New Roman" w:cs="Times New Roman"/>
          <w:color w:val="156082" w:themeColor="accent1"/>
        </w:rPr>
        <w:t>Land Owners</w:t>
      </w:r>
      <w:proofErr w:type="gramEnd"/>
    </w:p>
    <w:p w14:paraId="2C2179E4"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Government Authorities</w:t>
      </w:r>
    </w:p>
    <w:p w14:paraId="1B4DE3F1"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Revenue Authorities</w:t>
      </w:r>
    </w:p>
    <w:p w14:paraId="162E4C4D"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Local Authorities</w:t>
      </w:r>
    </w:p>
    <w:p w14:paraId="0931DED9"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Village Authorities</w:t>
      </w:r>
    </w:p>
    <w:p w14:paraId="593ED923"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Transmission Utilities</w:t>
      </w:r>
    </w:p>
    <w:p w14:paraId="5B1CF74B"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Distribution Utilities</w:t>
      </w:r>
    </w:p>
    <w:p w14:paraId="0147E173"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Grid Operators</w:t>
      </w:r>
    </w:p>
    <w:p w14:paraId="3DA0AD27"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Project Developers</w:t>
      </w:r>
    </w:p>
    <w:p w14:paraId="581F89BC"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Project Owners</w:t>
      </w:r>
    </w:p>
    <w:p w14:paraId="4CF3CB0F"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Infrastructure Developers</w:t>
      </w:r>
    </w:p>
    <w:p w14:paraId="3FC1EF84"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EPC Contractors</w:t>
      </w:r>
    </w:p>
    <w:p w14:paraId="0E0E7878"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Surveyors</w:t>
      </w:r>
    </w:p>
    <w:p w14:paraId="5C303B14"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Independent Engineers</w:t>
      </w:r>
    </w:p>
    <w:p w14:paraId="415763E7"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Environmental Consultants</w:t>
      </w:r>
    </w:p>
    <w:p w14:paraId="50A07580"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Legal Advisors</w:t>
      </w:r>
    </w:p>
    <w:p w14:paraId="36C88E83"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Title Consultants</w:t>
      </w:r>
    </w:p>
    <w:p w14:paraId="470FF75B"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Investors</w:t>
      </w:r>
    </w:p>
    <w:p w14:paraId="4A9127A3"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Lenders</w:t>
      </w:r>
    </w:p>
    <w:p w14:paraId="3DAA804A"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Banks</w:t>
      </w:r>
    </w:p>
    <w:p w14:paraId="51087C2F"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Regulatory Authorities</w:t>
      </w:r>
    </w:p>
    <w:p w14:paraId="4D910717" w14:textId="77777777" w:rsidR="00A0021F" w:rsidRPr="00A0021F" w:rsidRDefault="00A0021F" w:rsidP="00A0021F">
      <w:pPr>
        <w:jc w:val="both"/>
        <w:rPr>
          <w:rFonts w:ascii="Times New Roman" w:hAnsi="Times New Roman" w:cs="Times New Roman"/>
          <w:color w:val="156082" w:themeColor="accent1"/>
        </w:rPr>
      </w:pPr>
      <w:r w:rsidRPr="00A0021F">
        <w:rPr>
          <w:rFonts w:ascii="Times New Roman" w:hAnsi="Times New Roman" w:cs="Times New Roman"/>
          <w:color w:val="156082" w:themeColor="accent1"/>
        </w:rPr>
        <w:t>Strategic Partners</w:t>
      </w:r>
    </w:p>
    <w:p w14:paraId="2388E76C" w14:textId="77777777" w:rsidR="00A0021F" w:rsidRPr="00A0021F" w:rsidRDefault="00A0021F" w:rsidP="00A0021F">
      <w:pPr>
        <w:jc w:val="both"/>
        <w:rPr>
          <w:rFonts w:ascii="Times New Roman" w:hAnsi="Times New Roman" w:cs="Times New Roman"/>
          <w:color w:val="156082" w:themeColor="accent1"/>
        </w:rPr>
      </w:pPr>
    </w:p>
    <w:sectPr w:rsidR="00A0021F" w:rsidRPr="00A00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76C10"/>
    <w:multiLevelType w:val="multilevel"/>
    <w:tmpl w:val="F288FBB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4FB80515"/>
    <w:multiLevelType w:val="multilevel"/>
    <w:tmpl w:val="4350B25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0731244"/>
    <w:multiLevelType w:val="multilevel"/>
    <w:tmpl w:val="CEC6180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8771F7E"/>
    <w:multiLevelType w:val="multilevel"/>
    <w:tmpl w:val="A36036E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D1A0002"/>
    <w:multiLevelType w:val="multilevel"/>
    <w:tmpl w:val="F18404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88B6D1D"/>
    <w:multiLevelType w:val="multilevel"/>
    <w:tmpl w:val="8244E7C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94577044">
    <w:abstractNumId w:val="4"/>
  </w:num>
  <w:num w:numId="2" w16cid:durableId="1299453414">
    <w:abstractNumId w:val="3"/>
  </w:num>
  <w:num w:numId="3" w16cid:durableId="848565705">
    <w:abstractNumId w:val="0"/>
  </w:num>
  <w:num w:numId="4" w16cid:durableId="949239073">
    <w:abstractNumId w:val="5"/>
  </w:num>
  <w:num w:numId="5" w16cid:durableId="521089609">
    <w:abstractNumId w:val="1"/>
  </w:num>
  <w:num w:numId="6" w16cid:durableId="1844052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1F"/>
    <w:rsid w:val="001D50F3"/>
    <w:rsid w:val="00A00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69581"/>
  <w15:chartTrackingRefBased/>
  <w15:docId w15:val="{C56803A2-6984-4703-99FE-452D9324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21F"/>
    <w:rPr>
      <w:rFonts w:eastAsiaTheme="majorEastAsia" w:cstheme="majorBidi"/>
      <w:color w:val="272727" w:themeColor="text1" w:themeTint="D8"/>
    </w:rPr>
  </w:style>
  <w:style w:type="paragraph" w:styleId="Title">
    <w:name w:val="Title"/>
    <w:basedOn w:val="Normal"/>
    <w:next w:val="Normal"/>
    <w:link w:val="TitleChar"/>
    <w:uiPriority w:val="10"/>
    <w:qFormat/>
    <w:rsid w:val="00A00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21F"/>
    <w:pPr>
      <w:spacing w:before="160"/>
      <w:jc w:val="center"/>
    </w:pPr>
    <w:rPr>
      <w:i/>
      <w:iCs/>
      <w:color w:val="404040" w:themeColor="text1" w:themeTint="BF"/>
    </w:rPr>
  </w:style>
  <w:style w:type="character" w:customStyle="1" w:styleId="QuoteChar">
    <w:name w:val="Quote Char"/>
    <w:basedOn w:val="DefaultParagraphFont"/>
    <w:link w:val="Quote"/>
    <w:uiPriority w:val="29"/>
    <w:rsid w:val="00A0021F"/>
    <w:rPr>
      <w:i/>
      <w:iCs/>
      <w:color w:val="404040" w:themeColor="text1" w:themeTint="BF"/>
    </w:rPr>
  </w:style>
  <w:style w:type="paragraph" w:styleId="ListParagraph">
    <w:name w:val="List Paragraph"/>
    <w:basedOn w:val="Normal"/>
    <w:uiPriority w:val="34"/>
    <w:qFormat/>
    <w:rsid w:val="00A0021F"/>
    <w:pPr>
      <w:ind w:left="720"/>
      <w:contextualSpacing/>
    </w:pPr>
  </w:style>
  <w:style w:type="character" w:styleId="IntenseEmphasis">
    <w:name w:val="Intense Emphasis"/>
    <w:basedOn w:val="DefaultParagraphFont"/>
    <w:uiPriority w:val="21"/>
    <w:qFormat/>
    <w:rsid w:val="00A0021F"/>
    <w:rPr>
      <w:i/>
      <w:iCs/>
      <w:color w:val="0F4761" w:themeColor="accent1" w:themeShade="BF"/>
    </w:rPr>
  </w:style>
  <w:style w:type="paragraph" w:styleId="IntenseQuote">
    <w:name w:val="Intense Quote"/>
    <w:basedOn w:val="Normal"/>
    <w:next w:val="Normal"/>
    <w:link w:val="IntenseQuoteChar"/>
    <w:uiPriority w:val="30"/>
    <w:qFormat/>
    <w:rsid w:val="00A00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21F"/>
    <w:rPr>
      <w:i/>
      <w:iCs/>
      <w:color w:val="0F4761" w:themeColor="accent1" w:themeShade="BF"/>
    </w:rPr>
  </w:style>
  <w:style w:type="character" w:styleId="IntenseReference">
    <w:name w:val="Intense Reference"/>
    <w:basedOn w:val="DefaultParagraphFont"/>
    <w:uiPriority w:val="32"/>
    <w:qFormat/>
    <w:rsid w:val="00A002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760</Words>
  <Characters>4335</Characters>
  <Application>Microsoft Office Word</Application>
  <DocSecurity>0</DocSecurity>
  <Lines>36</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2026-06-09T18:50:00Z</dcterms:created>
  <dcterms:modified xsi:type="dcterms:W3CDTF">2026-06-09T18:51:00Z</dcterms:modified>
</cp:coreProperties>
</file>