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18B9" w14:textId="77777777" w:rsidR="00751958" w:rsidRPr="00751958" w:rsidRDefault="00751958" w:rsidP="00751958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751958">
        <w:rPr>
          <w:rFonts w:ascii="Times New Roman" w:hAnsi="Times New Roman" w:cs="Times New Roman"/>
          <w:b/>
          <w:bCs/>
          <w:color w:val="156082" w:themeColor="accent1"/>
          <w:u w:val="single"/>
        </w:rPr>
        <w:t>RE-15 – POWER PURCHASE AGREEMENT (PPA) DISCUSSIONS</w:t>
      </w:r>
    </w:p>
    <w:p w14:paraId="0D273791" w14:textId="77777777" w:rsidR="00751958" w:rsidRPr="00751958" w:rsidRDefault="00751958" w:rsidP="00751958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51958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6686C9B9" w14:textId="45FE4A91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"Purpose" means the evaluation, discussion, negotiation, structuring, execution, financing, implementation, amendment, assignment, management, or potential establishment of a Power Purchase Agreement, electricity supply arrangement, renewable energy offtake arrangement, energy sale transaction, or related commercial relationship concerning the sale and purchase of electricity generated from renewable energy projects.</w:t>
      </w:r>
    </w:p>
    <w:p w14:paraId="5BF59E1D" w14:textId="77777777" w:rsidR="00751958" w:rsidRPr="00751958" w:rsidRDefault="00751958" w:rsidP="00751958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51958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78BFAB8D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751958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751958">
        <w:rPr>
          <w:rFonts w:ascii="Times New Roman" w:hAnsi="Times New Roman" w:cs="Times New Roman"/>
          <w:color w:val="156082" w:themeColor="accent1"/>
        </w:rPr>
        <w:t xml:space="preserve"> the Parties desire to evaluate and discuss a potential Power Purchase Agreement, renewable energy offtake arrangement, electricity supply arrangement, energy procurement opportunity, or related commercial relationship;</w:t>
      </w:r>
    </w:p>
    <w:p w14:paraId="6C254B70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WHEREAS, in connection with such discussions, evaluations, commercial negotiations, regulatory assessments, and transaction activities, the Parties may disclose and exchange confidential commercial, financial, technical, operational, regulatory, contractual, and proprietary information;</w:t>
      </w:r>
    </w:p>
    <w:p w14:paraId="446C2933" w14:textId="7D20F815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751958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751958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04756744" w14:textId="77777777" w:rsidR="00751958" w:rsidRPr="00751958" w:rsidRDefault="00751958" w:rsidP="00751958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51958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27075819" w14:textId="77777777" w:rsidR="00751958" w:rsidRPr="00751958" w:rsidRDefault="00751958" w:rsidP="00751958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51958">
        <w:rPr>
          <w:rFonts w:ascii="Times New Roman" w:hAnsi="Times New Roman" w:cs="Times New Roman"/>
          <w:b/>
          <w:bCs/>
          <w:color w:val="156082" w:themeColor="accent1"/>
        </w:rPr>
        <w:t>Power Purchase Agreement</w:t>
      </w:r>
    </w:p>
    <w:p w14:paraId="5FCB79FE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"Power Purchase Agreement" or "PPA" means any agreement relating to the purchase, sale, supply, delivery, procurement, or offtake of electrical energy, capacity, environmental attributes, or related products.</w:t>
      </w:r>
    </w:p>
    <w:p w14:paraId="1C13E6FC" w14:textId="77777777" w:rsidR="00751958" w:rsidRPr="00751958" w:rsidRDefault="00751958" w:rsidP="00751958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proofErr w:type="spellStart"/>
      <w:r w:rsidRPr="00751958">
        <w:rPr>
          <w:rFonts w:ascii="Times New Roman" w:hAnsi="Times New Roman" w:cs="Times New Roman"/>
          <w:b/>
          <w:bCs/>
          <w:color w:val="156082" w:themeColor="accent1"/>
        </w:rPr>
        <w:t>Offtaker</w:t>
      </w:r>
      <w:proofErr w:type="spellEnd"/>
    </w:p>
    <w:p w14:paraId="4290FFA1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"</w:t>
      </w:r>
      <w:proofErr w:type="spellStart"/>
      <w:r w:rsidRPr="00751958">
        <w:rPr>
          <w:rFonts w:ascii="Times New Roman" w:hAnsi="Times New Roman" w:cs="Times New Roman"/>
          <w:color w:val="156082" w:themeColor="accent1"/>
        </w:rPr>
        <w:t>Offtaker</w:t>
      </w:r>
      <w:proofErr w:type="spellEnd"/>
      <w:r w:rsidRPr="00751958">
        <w:rPr>
          <w:rFonts w:ascii="Times New Roman" w:hAnsi="Times New Roman" w:cs="Times New Roman"/>
          <w:color w:val="156082" w:themeColor="accent1"/>
        </w:rPr>
        <w:t>" means any purchaser, buyer, consumer, utility, distribution company, trader, captive consumer, corporate consumer, or other entity purchasing electricity under a contemplated PPA.</w:t>
      </w:r>
    </w:p>
    <w:p w14:paraId="4FAB922A" w14:textId="77777777" w:rsidR="00751958" w:rsidRPr="00751958" w:rsidRDefault="00751958" w:rsidP="00751958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51958">
        <w:rPr>
          <w:rFonts w:ascii="Times New Roman" w:hAnsi="Times New Roman" w:cs="Times New Roman"/>
          <w:b/>
          <w:bCs/>
          <w:color w:val="156082" w:themeColor="accent1"/>
        </w:rPr>
        <w:t>Contracted Capacity</w:t>
      </w:r>
    </w:p>
    <w:p w14:paraId="04132476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"Contracted Capacity" means the capacity, output, generation quantity, or supply commitment proposed to be supplied under a contemplated PPA.</w:t>
      </w:r>
    </w:p>
    <w:p w14:paraId="6D6A761E" w14:textId="77777777" w:rsidR="00751958" w:rsidRPr="00751958" w:rsidRDefault="00751958" w:rsidP="00751958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51958">
        <w:rPr>
          <w:rFonts w:ascii="Times New Roman" w:hAnsi="Times New Roman" w:cs="Times New Roman"/>
          <w:b/>
          <w:bCs/>
          <w:color w:val="156082" w:themeColor="accent1"/>
        </w:rPr>
        <w:t>Tariff Information</w:t>
      </w:r>
    </w:p>
    <w:p w14:paraId="28424008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"Tariff Information" means information relating to pricing structures, tariffs, escalation mechanisms, tariff assumptions, tariff calculations, discounts, incentives, and payment structures.</w:t>
      </w:r>
    </w:p>
    <w:p w14:paraId="109F3260" w14:textId="77777777" w:rsidR="00751958" w:rsidRPr="00751958" w:rsidRDefault="00751958" w:rsidP="00751958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51958">
        <w:rPr>
          <w:rFonts w:ascii="Times New Roman" w:hAnsi="Times New Roman" w:cs="Times New Roman"/>
          <w:b/>
          <w:bCs/>
          <w:color w:val="156082" w:themeColor="accent1"/>
        </w:rPr>
        <w:t>Energy Supply Information</w:t>
      </w:r>
    </w:p>
    <w:p w14:paraId="465C3A95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lastRenderedPageBreak/>
        <w:t>"Energy Supply Information" means information relating to generation forecasts, supply obligations, scheduling obligations, dispatch obligations, delivery commitments, and energy availability.</w:t>
      </w:r>
    </w:p>
    <w:p w14:paraId="5B403853" w14:textId="77777777" w:rsidR="00751958" w:rsidRPr="00751958" w:rsidRDefault="00751958" w:rsidP="00751958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51958">
        <w:rPr>
          <w:rFonts w:ascii="Times New Roman" w:hAnsi="Times New Roman" w:cs="Times New Roman"/>
          <w:b/>
          <w:bCs/>
          <w:color w:val="156082" w:themeColor="accent1"/>
        </w:rPr>
        <w:t>PPA Documentation</w:t>
      </w:r>
    </w:p>
    <w:p w14:paraId="0C7AADC0" w14:textId="732ECA90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"PPA Documentation" means draft PPAs, term sheets, commercial proposals, pricing proposals, bid submissions, tariff schedules, payment security arrangements, and related contractual documentation.</w:t>
      </w:r>
    </w:p>
    <w:p w14:paraId="596846C3" w14:textId="77777777" w:rsidR="00751958" w:rsidRPr="00751958" w:rsidRDefault="00751958" w:rsidP="00751958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51958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106F8088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20A2A525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(a) proposed tariffs, pricing structures, tariff calculations, tariff assumptions, escalation mechanisms, discounts, incentives, and commercial pricing information;</w:t>
      </w:r>
    </w:p>
    <w:p w14:paraId="1AA637B6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(b) generation forecasts, energy yield assessments, production estimates, supply forecasts, scheduling assumptions, dispatch forecasts, and availability projections;</w:t>
      </w:r>
    </w:p>
    <w:p w14:paraId="75B40E97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(c) contracted capacity proposals, supply commitments, delivery obligations, performance obligations, and operational commitments;</w:t>
      </w:r>
    </w:p>
    <w:p w14:paraId="17A0B004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(d) bid submissions, tender responses, procurement documentation, commercial proposals, and energy supply proposals;</w:t>
      </w:r>
    </w:p>
    <w:p w14:paraId="0A8D585B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(e) payment security mechanisms, letters of credit, guarantees, escrow arrangements, credit support arrangements, and financial security structures;</w:t>
      </w:r>
    </w:p>
    <w:p w14:paraId="6B8358CC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(f) billing arrangements, payment procedures, invoicing methodologies, settlement mechanisms, reconciliation procedures, and collection arrangements;</w:t>
      </w:r>
    </w:p>
    <w:p w14:paraId="28F27DBA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(g) transmission arrangements, evacuation arrangements, wheeling arrangements, grid connectivity information, scheduling procedures, and dispatch mechanisms;</w:t>
      </w:r>
    </w:p>
    <w:p w14:paraId="79CE0688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(h) regulatory approvals, licensing requirements, statutory obligations, compliance requirements, governmental approvals, and regulatory correspondence;</w:t>
      </w:r>
    </w:p>
    <w:p w14:paraId="6FDD97EC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(</w:t>
      </w:r>
      <w:proofErr w:type="spellStart"/>
      <w:r w:rsidRPr="00751958">
        <w:rPr>
          <w:rFonts w:ascii="Times New Roman" w:hAnsi="Times New Roman" w:cs="Times New Roman"/>
          <w:color w:val="156082" w:themeColor="accent1"/>
        </w:rPr>
        <w:t>i</w:t>
      </w:r>
      <w:proofErr w:type="spellEnd"/>
      <w:r w:rsidRPr="00751958">
        <w:rPr>
          <w:rFonts w:ascii="Times New Roman" w:hAnsi="Times New Roman" w:cs="Times New Roman"/>
          <w:color w:val="156082" w:themeColor="accent1"/>
        </w:rPr>
        <w:t>) project financial models, revenue forecasts, cash flow projections, debt servicing assumptions, lender analyses, and financing assessments;</w:t>
      </w:r>
    </w:p>
    <w:p w14:paraId="231A3724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 xml:space="preserve">(j) </w:t>
      </w:r>
      <w:proofErr w:type="spellStart"/>
      <w:r w:rsidRPr="00751958">
        <w:rPr>
          <w:rFonts w:ascii="Times New Roman" w:hAnsi="Times New Roman" w:cs="Times New Roman"/>
          <w:color w:val="156082" w:themeColor="accent1"/>
        </w:rPr>
        <w:t>offtaker</w:t>
      </w:r>
      <w:proofErr w:type="spellEnd"/>
      <w:r w:rsidRPr="00751958">
        <w:rPr>
          <w:rFonts w:ascii="Times New Roman" w:hAnsi="Times New Roman" w:cs="Times New Roman"/>
          <w:color w:val="156082" w:themeColor="accent1"/>
        </w:rPr>
        <w:t xml:space="preserve"> evaluations, credit assessments, financial analyses, risk assessments, and commercial due diligence information;</w:t>
      </w:r>
    </w:p>
    <w:p w14:paraId="3FC2240A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(k) contract negotiations, transaction structures, amendment discussions, extension discussions, assignment arrangements, and commercial correspondence;</w:t>
      </w:r>
    </w:p>
    <w:p w14:paraId="15ED63CF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(l) environmental attribute arrangements, renewable energy certificates, carbon credit arrangements, sustainability commitments, and green energy claims; and</w:t>
      </w:r>
    </w:p>
    <w:p w14:paraId="4FDD79FB" w14:textId="485EE4F2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lastRenderedPageBreak/>
        <w:t>(m) any other commercial, financial, technical, operational, regulatory, contractual, energy-related, offtake-related, renewable-energy-related, strategic, or proprietary information disclosed in connection with the contemplated PPA.</w:t>
      </w:r>
    </w:p>
    <w:p w14:paraId="7E9D7CCE" w14:textId="77777777" w:rsidR="00751958" w:rsidRPr="00751958" w:rsidRDefault="00751958" w:rsidP="00751958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51958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7AC9D6E1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Power Purchasers</w:t>
      </w:r>
    </w:p>
    <w:p w14:paraId="2C45733F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proofErr w:type="spellStart"/>
      <w:r w:rsidRPr="00751958">
        <w:rPr>
          <w:rFonts w:ascii="Times New Roman" w:hAnsi="Times New Roman" w:cs="Times New Roman"/>
          <w:color w:val="156082" w:themeColor="accent1"/>
        </w:rPr>
        <w:t>Offtakers</w:t>
      </w:r>
      <w:proofErr w:type="spellEnd"/>
    </w:p>
    <w:p w14:paraId="7F62F4F3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DISCOMs</w:t>
      </w:r>
    </w:p>
    <w:p w14:paraId="125C0FE8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Distribution Licensees</w:t>
      </w:r>
    </w:p>
    <w:p w14:paraId="70DAF40C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Corporate Consumers</w:t>
      </w:r>
    </w:p>
    <w:p w14:paraId="1AD1561D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Industrial Consumers</w:t>
      </w:r>
    </w:p>
    <w:p w14:paraId="6BE163C9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Commercial Consumers</w:t>
      </w:r>
    </w:p>
    <w:p w14:paraId="40BDFA46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Electricity Traders</w:t>
      </w:r>
    </w:p>
    <w:p w14:paraId="53372AC4" w14:textId="7189A8BB" w:rsid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Open Access Co</w:t>
      </w:r>
      <w:r>
        <w:rPr>
          <w:rFonts w:ascii="Times New Roman" w:hAnsi="Times New Roman" w:cs="Times New Roman"/>
          <w:color w:val="156082" w:themeColor="accent1"/>
        </w:rPr>
        <w:t>nsumers</w:t>
      </w:r>
    </w:p>
    <w:p w14:paraId="2439570D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Captive Consumers</w:t>
      </w:r>
    </w:p>
    <w:p w14:paraId="46CD4DF0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Group Captive Consumers</w:t>
      </w:r>
    </w:p>
    <w:p w14:paraId="4D33BD37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Government Agencies</w:t>
      </w:r>
    </w:p>
    <w:p w14:paraId="54EEB654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Public Sector Undertakings</w:t>
      </w:r>
    </w:p>
    <w:p w14:paraId="64D59C11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Transmission Utilities</w:t>
      </w:r>
    </w:p>
    <w:p w14:paraId="71D11310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Load Dispatch Centres</w:t>
      </w:r>
    </w:p>
    <w:p w14:paraId="7CD53350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Grid Operators</w:t>
      </w:r>
    </w:p>
    <w:p w14:paraId="1A1E707D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Investors</w:t>
      </w:r>
    </w:p>
    <w:p w14:paraId="1CCE1898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Lenders</w:t>
      </w:r>
    </w:p>
    <w:p w14:paraId="29924700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Banks</w:t>
      </w:r>
    </w:p>
    <w:p w14:paraId="6BBAA549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Regulatory Authorities</w:t>
      </w:r>
    </w:p>
    <w:p w14:paraId="7263DD00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Energy Consultants</w:t>
      </w:r>
    </w:p>
    <w:p w14:paraId="7C223006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  <w:r w:rsidRPr="00751958">
        <w:rPr>
          <w:rFonts w:ascii="Times New Roman" w:hAnsi="Times New Roman" w:cs="Times New Roman"/>
          <w:color w:val="156082" w:themeColor="accent1"/>
        </w:rPr>
        <w:t>Strategic Partners</w:t>
      </w:r>
    </w:p>
    <w:p w14:paraId="2E814076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</w:p>
    <w:p w14:paraId="7F5CDE33" w14:textId="77777777" w:rsidR="00751958" w:rsidRPr="00751958" w:rsidRDefault="00751958" w:rsidP="00751958">
      <w:pPr>
        <w:jc w:val="both"/>
        <w:rPr>
          <w:rFonts w:ascii="Times New Roman" w:hAnsi="Times New Roman" w:cs="Times New Roman"/>
          <w:color w:val="156082" w:themeColor="accent1"/>
        </w:rPr>
      </w:pPr>
    </w:p>
    <w:sectPr w:rsidR="00751958" w:rsidRPr="00751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2BC"/>
    <w:multiLevelType w:val="multilevel"/>
    <w:tmpl w:val="1F4CFC6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5B062E1"/>
    <w:multiLevelType w:val="multilevel"/>
    <w:tmpl w:val="386CF48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7E20750"/>
    <w:multiLevelType w:val="multilevel"/>
    <w:tmpl w:val="6302C35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6E72151"/>
    <w:multiLevelType w:val="multilevel"/>
    <w:tmpl w:val="9A9CFF5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C130A29"/>
    <w:multiLevelType w:val="multilevel"/>
    <w:tmpl w:val="02FE054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E2A4340"/>
    <w:multiLevelType w:val="multilevel"/>
    <w:tmpl w:val="5AF854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51045376">
    <w:abstractNumId w:val="5"/>
  </w:num>
  <w:num w:numId="2" w16cid:durableId="2085644605">
    <w:abstractNumId w:val="4"/>
  </w:num>
  <w:num w:numId="3" w16cid:durableId="1183741777">
    <w:abstractNumId w:val="0"/>
  </w:num>
  <w:num w:numId="4" w16cid:durableId="1166940586">
    <w:abstractNumId w:val="2"/>
  </w:num>
  <w:num w:numId="5" w16cid:durableId="1352417733">
    <w:abstractNumId w:val="1"/>
  </w:num>
  <w:num w:numId="6" w16cid:durableId="1823231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58"/>
    <w:rsid w:val="00751958"/>
    <w:rsid w:val="00E3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B4CD4"/>
  <w15:chartTrackingRefBased/>
  <w15:docId w15:val="{54EF47C4-B2EF-4DAB-8A79-F0CCAAD0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2026-06-10T12:40:00Z</dcterms:created>
  <dcterms:modified xsi:type="dcterms:W3CDTF">2026-06-10T12:42:00Z</dcterms:modified>
</cp:coreProperties>
</file>