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D931F" w14:textId="77777777" w:rsidR="007E59C6" w:rsidRPr="007E59C6" w:rsidRDefault="007E59C6" w:rsidP="007E59C6">
      <w:pPr>
        <w:jc w:val="center"/>
        <w:rPr>
          <w:rFonts w:ascii="Times New Roman" w:hAnsi="Times New Roman" w:cs="Times New Roman"/>
          <w:b/>
          <w:bCs/>
          <w:color w:val="156082" w:themeColor="accent1"/>
          <w:u w:val="single"/>
        </w:rPr>
      </w:pPr>
      <w:r w:rsidRPr="007E59C6">
        <w:rPr>
          <w:rFonts w:ascii="Times New Roman" w:hAnsi="Times New Roman" w:cs="Times New Roman"/>
          <w:b/>
          <w:bCs/>
          <w:color w:val="156082" w:themeColor="accent1"/>
          <w:u w:val="single"/>
        </w:rPr>
        <w:t>RE-17 – OPEN ACCESS DISCUSSIONS</w:t>
      </w:r>
    </w:p>
    <w:p w14:paraId="3B61FA08" w14:textId="77777777" w:rsidR="007E59C6" w:rsidRPr="007E59C6" w:rsidRDefault="007E59C6" w:rsidP="007E59C6">
      <w:pPr>
        <w:jc w:val="both"/>
        <w:rPr>
          <w:rFonts w:ascii="Times New Roman" w:hAnsi="Times New Roman" w:cs="Times New Roman"/>
          <w:b/>
          <w:bCs/>
          <w:color w:val="156082" w:themeColor="accent1"/>
        </w:rPr>
      </w:pPr>
      <w:r w:rsidRPr="007E59C6">
        <w:rPr>
          <w:rFonts w:ascii="Times New Roman" w:hAnsi="Times New Roman" w:cs="Times New Roman"/>
          <w:b/>
          <w:bCs/>
          <w:color w:val="156082" w:themeColor="accent1"/>
        </w:rPr>
        <w:t>A. PURPOSE DEFINITION</w:t>
      </w:r>
    </w:p>
    <w:p w14:paraId="01237035" w14:textId="7B3DD0E2"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"Purpose" means the evaluation, discussion, negotiation, structuring, development, procurement, supply, purchase, financing, implementation, operation, management, or potential establishment of an Open Access arrangement, renewable energy supply arrangement, power procurement structure, or related commercial relationship involving the generation, transmission, wheeling, scheduling, banking, and consumption of electricity under applicable Open Access regulations.</w:t>
      </w:r>
    </w:p>
    <w:p w14:paraId="4794600B" w14:textId="77777777" w:rsidR="007E59C6" w:rsidRPr="007E59C6" w:rsidRDefault="007E59C6" w:rsidP="007E59C6">
      <w:pPr>
        <w:jc w:val="both"/>
        <w:rPr>
          <w:rFonts w:ascii="Times New Roman" w:hAnsi="Times New Roman" w:cs="Times New Roman"/>
          <w:b/>
          <w:bCs/>
          <w:color w:val="156082" w:themeColor="accent1"/>
        </w:rPr>
      </w:pPr>
      <w:r w:rsidRPr="007E59C6">
        <w:rPr>
          <w:rFonts w:ascii="Times New Roman" w:hAnsi="Times New Roman" w:cs="Times New Roman"/>
          <w:b/>
          <w:bCs/>
          <w:color w:val="156082" w:themeColor="accent1"/>
        </w:rPr>
        <w:t>B. RECITAL VARIANT</w:t>
      </w:r>
    </w:p>
    <w:p w14:paraId="22356815" w14:textId="77777777" w:rsidR="007E59C6" w:rsidRPr="007E59C6" w:rsidRDefault="007E59C6" w:rsidP="007E59C6">
      <w:pPr>
        <w:jc w:val="both"/>
        <w:rPr>
          <w:rFonts w:ascii="Times New Roman" w:hAnsi="Times New Roman" w:cs="Times New Roman"/>
          <w:color w:val="156082" w:themeColor="accent1"/>
        </w:rPr>
      </w:pPr>
      <w:proofErr w:type="gramStart"/>
      <w:r w:rsidRPr="007E59C6">
        <w:rPr>
          <w:rFonts w:ascii="Times New Roman" w:hAnsi="Times New Roman" w:cs="Times New Roman"/>
          <w:color w:val="156082" w:themeColor="accent1"/>
        </w:rPr>
        <w:t>WHEREAS,</w:t>
      </w:r>
      <w:proofErr w:type="gramEnd"/>
      <w:r w:rsidRPr="007E59C6">
        <w:rPr>
          <w:rFonts w:ascii="Times New Roman" w:hAnsi="Times New Roman" w:cs="Times New Roman"/>
          <w:color w:val="156082" w:themeColor="accent1"/>
        </w:rPr>
        <w:t xml:space="preserve"> the Parties desire to evaluate and discuss a potential Open Access arrangement, renewable energy procurement opportunity, electricity supply arrangement, power sale opportunity, or related commercial relationship;</w:t>
      </w:r>
    </w:p>
    <w:p w14:paraId="75E6A3A6"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WHEREAS, in connection with such discussions, evaluations, regulatory assessments, commercial negotiations, and transaction activities, the Parties may disclose and exchange confidential commercial, financial, technical, operational, regulatory, transmission-related, and proprietary information;</w:t>
      </w:r>
    </w:p>
    <w:p w14:paraId="0C590A5C" w14:textId="067074FC" w:rsidR="007E59C6" w:rsidRPr="007E59C6" w:rsidRDefault="007E59C6" w:rsidP="007E59C6">
      <w:pPr>
        <w:jc w:val="both"/>
        <w:rPr>
          <w:rFonts w:ascii="Times New Roman" w:hAnsi="Times New Roman" w:cs="Times New Roman"/>
          <w:color w:val="156082" w:themeColor="accent1"/>
        </w:rPr>
      </w:pPr>
      <w:proofErr w:type="gramStart"/>
      <w:r w:rsidRPr="007E59C6">
        <w:rPr>
          <w:rFonts w:ascii="Times New Roman" w:hAnsi="Times New Roman" w:cs="Times New Roman"/>
          <w:color w:val="156082" w:themeColor="accent1"/>
        </w:rPr>
        <w:t>WHEREAS,</w:t>
      </w:r>
      <w:proofErr w:type="gramEnd"/>
      <w:r w:rsidRPr="007E59C6">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4EEF2005" w14:textId="77777777" w:rsidR="007E59C6" w:rsidRPr="007E59C6" w:rsidRDefault="007E59C6" w:rsidP="007E59C6">
      <w:pPr>
        <w:jc w:val="both"/>
        <w:rPr>
          <w:rFonts w:ascii="Times New Roman" w:hAnsi="Times New Roman" w:cs="Times New Roman"/>
          <w:b/>
          <w:bCs/>
          <w:color w:val="156082" w:themeColor="accent1"/>
        </w:rPr>
      </w:pPr>
      <w:r w:rsidRPr="007E59C6">
        <w:rPr>
          <w:rFonts w:ascii="Times New Roman" w:hAnsi="Times New Roman" w:cs="Times New Roman"/>
          <w:b/>
          <w:bCs/>
          <w:color w:val="156082" w:themeColor="accent1"/>
        </w:rPr>
        <w:t>C. ADDITIONAL DEFINITIONS</w:t>
      </w:r>
    </w:p>
    <w:p w14:paraId="46AC4D49" w14:textId="77777777" w:rsidR="007E59C6" w:rsidRPr="007E59C6" w:rsidRDefault="007E59C6" w:rsidP="007E59C6">
      <w:pPr>
        <w:numPr>
          <w:ilvl w:val="0"/>
          <w:numId w:val="1"/>
        </w:numPr>
        <w:tabs>
          <w:tab w:val="clear" w:pos="360"/>
          <w:tab w:val="num" w:pos="720"/>
        </w:tabs>
        <w:jc w:val="both"/>
        <w:rPr>
          <w:rFonts w:ascii="Times New Roman" w:hAnsi="Times New Roman" w:cs="Times New Roman"/>
          <w:b/>
          <w:bCs/>
          <w:color w:val="156082" w:themeColor="accent1"/>
        </w:rPr>
      </w:pPr>
      <w:r w:rsidRPr="007E59C6">
        <w:rPr>
          <w:rFonts w:ascii="Times New Roman" w:hAnsi="Times New Roman" w:cs="Times New Roman"/>
          <w:b/>
          <w:bCs/>
          <w:color w:val="156082" w:themeColor="accent1"/>
        </w:rPr>
        <w:t>Open Access</w:t>
      </w:r>
    </w:p>
    <w:p w14:paraId="5B1DD1D2"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"Open Access" means the non-discriminatory use of transmission systems, distribution systems, electricity networks, or associated infrastructure by eligible consumers, generators, traders, suppliers, or other participants for the transmission and supply of electricity under Applicable Law.</w:t>
      </w:r>
    </w:p>
    <w:p w14:paraId="22073923" w14:textId="77777777" w:rsidR="007E59C6" w:rsidRPr="007E59C6" w:rsidRDefault="007E59C6" w:rsidP="007E59C6">
      <w:pPr>
        <w:numPr>
          <w:ilvl w:val="0"/>
          <w:numId w:val="2"/>
        </w:numPr>
        <w:tabs>
          <w:tab w:val="clear" w:pos="360"/>
          <w:tab w:val="num" w:pos="720"/>
        </w:tabs>
        <w:jc w:val="both"/>
        <w:rPr>
          <w:rFonts w:ascii="Times New Roman" w:hAnsi="Times New Roman" w:cs="Times New Roman"/>
          <w:b/>
          <w:bCs/>
          <w:color w:val="156082" w:themeColor="accent1"/>
        </w:rPr>
      </w:pPr>
      <w:r w:rsidRPr="007E59C6">
        <w:rPr>
          <w:rFonts w:ascii="Times New Roman" w:hAnsi="Times New Roman" w:cs="Times New Roman"/>
          <w:b/>
          <w:bCs/>
          <w:color w:val="156082" w:themeColor="accent1"/>
        </w:rPr>
        <w:t>Open Access Consumer</w:t>
      </w:r>
    </w:p>
    <w:p w14:paraId="0A27B103"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"Open Access Consumer" means any consumer eligible under Applicable Law to procure electricity through an Open Access arrangement.</w:t>
      </w:r>
    </w:p>
    <w:p w14:paraId="2FBE6388" w14:textId="77777777" w:rsidR="007E59C6" w:rsidRPr="007E59C6" w:rsidRDefault="007E59C6" w:rsidP="007E59C6">
      <w:pPr>
        <w:numPr>
          <w:ilvl w:val="0"/>
          <w:numId w:val="3"/>
        </w:numPr>
        <w:tabs>
          <w:tab w:val="clear" w:pos="360"/>
          <w:tab w:val="num" w:pos="720"/>
        </w:tabs>
        <w:jc w:val="both"/>
        <w:rPr>
          <w:rFonts w:ascii="Times New Roman" w:hAnsi="Times New Roman" w:cs="Times New Roman"/>
          <w:b/>
          <w:bCs/>
          <w:color w:val="156082" w:themeColor="accent1"/>
        </w:rPr>
      </w:pPr>
      <w:r w:rsidRPr="007E59C6">
        <w:rPr>
          <w:rFonts w:ascii="Times New Roman" w:hAnsi="Times New Roman" w:cs="Times New Roman"/>
          <w:b/>
          <w:bCs/>
          <w:color w:val="156082" w:themeColor="accent1"/>
        </w:rPr>
        <w:t>Wheeling Arrangement</w:t>
      </w:r>
    </w:p>
    <w:p w14:paraId="35FD2F06"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"Wheeling Arrangement" means any arrangement relating to the conveyance, transportation, delivery, transfer, or movement of electricity through transmission or distribution networks.</w:t>
      </w:r>
    </w:p>
    <w:p w14:paraId="4D01D21E" w14:textId="77777777" w:rsidR="007E59C6" w:rsidRPr="007E59C6" w:rsidRDefault="007E59C6" w:rsidP="007E59C6">
      <w:pPr>
        <w:numPr>
          <w:ilvl w:val="0"/>
          <w:numId w:val="4"/>
        </w:numPr>
        <w:tabs>
          <w:tab w:val="clear" w:pos="360"/>
          <w:tab w:val="num" w:pos="720"/>
        </w:tabs>
        <w:jc w:val="both"/>
        <w:rPr>
          <w:rFonts w:ascii="Times New Roman" w:hAnsi="Times New Roman" w:cs="Times New Roman"/>
          <w:b/>
          <w:bCs/>
          <w:color w:val="156082" w:themeColor="accent1"/>
        </w:rPr>
      </w:pPr>
      <w:r w:rsidRPr="007E59C6">
        <w:rPr>
          <w:rFonts w:ascii="Times New Roman" w:hAnsi="Times New Roman" w:cs="Times New Roman"/>
          <w:b/>
          <w:bCs/>
          <w:color w:val="156082" w:themeColor="accent1"/>
        </w:rPr>
        <w:t>Banking Arrangement</w:t>
      </w:r>
    </w:p>
    <w:p w14:paraId="59E6BA0A"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"Banking Arrangement" means any arrangement under which surplus electricity injected into the grid may be credited, stored notionally, adjusted, carried forward, or utilized subsequently in accordance with Applicable Law.</w:t>
      </w:r>
    </w:p>
    <w:p w14:paraId="037BF61E" w14:textId="77777777" w:rsidR="007E59C6" w:rsidRPr="007E59C6" w:rsidRDefault="007E59C6" w:rsidP="007E59C6">
      <w:pPr>
        <w:numPr>
          <w:ilvl w:val="0"/>
          <w:numId w:val="5"/>
        </w:numPr>
        <w:tabs>
          <w:tab w:val="clear" w:pos="360"/>
          <w:tab w:val="num" w:pos="720"/>
        </w:tabs>
        <w:jc w:val="both"/>
        <w:rPr>
          <w:rFonts w:ascii="Times New Roman" w:hAnsi="Times New Roman" w:cs="Times New Roman"/>
          <w:b/>
          <w:bCs/>
          <w:color w:val="156082" w:themeColor="accent1"/>
        </w:rPr>
      </w:pPr>
      <w:r w:rsidRPr="007E59C6">
        <w:rPr>
          <w:rFonts w:ascii="Times New Roman" w:hAnsi="Times New Roman" w:cs="Times New Roman"/>
          <w:b/>
          <w:bCs/>
          <w:color w:val="156082" w:themeColor="accent1"/>
        </w:rPr>
        <w:t>Scheduling Information</w:t>
      </w:r>
    </w:p>
    <w:p w14:paraId="459D8044"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lastRenderedPageBreak/>
        <w:t>"Scheduling Information" means information relating to generation schedules, consumption schedules, dispatch schedules, forecasting requirements, deviation management obligations, and load management activities.</w:t>
      </w:r>
    </w:p>
    <w:p w14:paraId="464E805A" w14:textId="77777777" w:rsidR="007E59C6" w:rsidRPr="007E59C6" w:rsidRDefault="007E59C6" w:rsidP="007E59C6">
      <w:pPr>
        <w:numPr>
          <w:ilvl w:val="0"/>
          <w:numId w:val="6"/>
        </w:numPr>
        <w:tabs>
          <w:tab w:val="clear" w:pos="360"/>
          <w:tab w:val="num" w:pos="720"/>
        </w:tabs>
        <w:jc w:val="both"/>
        <w:rPr>
          <w:rFonts w:ascii="Times New Roman" w:hAnsi="Times New Roman" w:cs="Times New Roman"/>
          <w:b/>
          <w:bCs/>
          <w:color w:val="156082" w:themeColor="accent1"/>
        </w:rPr>
      </w:pPr>
      <w:r w:rsidRPr="007E59C6">
        <w:rPr>
          <w:rFonts w:ascii="Times New Roman" w:hAnsi="Times New Roman" w:cs="Times New Roman"/>
          <w:b/>
          <w:bCs/>
          <w:color w:val="156082" w:themeColor="accent1"/>
        </w:rPr>
        <w:t>Open Access Documentation</w:t>
      </w:r>
    </w:p>
    <w:p w14:paraId="0514B1E2" w14:textId="12B61795"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"Open Access Documentation" means applications, approvals, permits, agreements, wheeling agreements, banking agreements, transmission agreements, scheduling documentation, regulatory filings, and related contractual documentation.</w:t>
      </w:r>
    </w:p>
    <w:p w14:paraId="05F8ECBE" w14:textId="77777777" w:rsidR="007E59C6" w:rsidRPr="007E59C6" w:rsidRDefault="007E59C6" w:rsidP="007E59C6">
      <w:pPr>
        <w:jc w:val="both"/>
        <w:rPr>
          <w:rFonts w:ascii="Times New Roman" w:hAnsi="Times New Roman" w:cs="Times New Roman"/>
          <w:b/>
          <w:bCs/>
          <w:color w:val="156082" w:themeColor="accent1"/>
        </w:rPr>
      </w:pPr>
      <w:r w:rsidRPr="007E59C6">
        <w:rPr>
          <w:rFonts w:ascii="Times New Roman" w:hAnsi="Times New Roman" w:cs="Times New Roman"/>
          <w:b/>
          <w:bCs/>
          <w:color w:val="156082" w:themeColor="accent1"/>
        </w:rPr>
        <w:t>D. CONFIDENTIAL INFORMATION EXPANSION</w:t>
      </w:r>
    </w:p>
    <w:p w14:paraId="399EECFF"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Without limitation, Confidential Information includes:</w:t>
      </w:r>
    </w:p>
    <w:p w14:paraId="20F6C06A"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(a) Open Access structures, transaction structures, procurement models, power supply structures, and energy sourcing arrangements;</w:t>
      </w:r>
    </w:p>
    <w:p w14:paraId="35406AD1"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(b) consumer load profiles, electricity consumption data, demand forecasts, usage analyses, and consumption projections;</w:t>
      </w:r>
    </w:p>
    <w:p w14:paraId="034E9245"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(c) generation forecasts, energy production forecasts, scheduling assumptions, dispatch plans, forecasting methodologies, and availability projections;</w:t>
      </w:r>
    </w:p>
    <w:p w14:paraId="784E1956"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(d) wheeling arrangements, transmission arrangements, banking arrangements, energy accounting methodologies, settlement mechanisms, and adjustment procedures;</w:t>
      </w:r>
    </w:p>
    <w:p w14:paraId="672EE1E4"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(e) transmission charges, wheeling charges, banking charges, cross-subsidy surcharge assessments, additional surcharge assessments, and related cost analyses;</w:t>
      </w:r>
    </w:p>
    <w:p w14:paraId="0C9CDD18"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(f) SLDC, RLDC, STU, CTU, DISCOM, and transmission utility interactions, applications, approvals, correspondence, and compliance requirements;</w:t>
      </w:r>
    </w:p>
    <w:p w14:paraId="78DA9F75"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(g) regulatory assessments, state policy analyses, Open Access regulations, licensing requirements, governmental approvals, and regulatory correspondence;</w:t>
      </w:r>
    </w:p>
    <w:p w14:paraId="76243F1E"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(h) tariff structures, pricing mechanisms, commercial proposals, billing methodologies, settlement arrangements, and payment structures;</w:t>
      </w:r>
    </w:p>
    <w:p w14:paraId="6796463A"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w:t>
      </w:r>
      <w:proofErr w:type="spellStart"/>
      <w:r w:rsidRPr="007E59C6">
        <w:rPr>
          <w:rFonts w:ascii="Times New Roman" w:hAnsi="Times New Roman" w:cs="Times New Roman"/>
          <w:color w:val="156082" w:themeColor="accent1"/>
        </w:rPr>
        <w:t>i</w:t>
      </w:r>
      <w:proofErr w:type="spellEnd"/>
      <w:r w:rsidRPr="007E59C6">
        <w:rPr>
          <w:rFonts w:ascii="Times New Roman" w:hAnsi="Times New Roman" w:cs="Times New Roman"/>
          <w:color w:val="156082" w:themeColor="accent1"/>
        </w:rPr>
        <w:t>) project financial models, procurement analyses, energy cost analyses, savings projections, return-on-investment analyses, and commercial evaluations;</w:t>
      </w:r>
    </w:p>
    <w:p w14:paraId="0B11014E"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(j) forecasting reports, deviation analyses, DSM assessments, scheduling reports, operational compliance information, and grid coordination information;</w:t>
      </w:r>
    </w:p>
    <w:p w14:paraId="266BC5D5"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(k) contractual negotiations, commercial discussions, amendment discussions, extension discussions, assignment arrangements, and transaction documentation;</w:t>
      </w:r>
    </w:p>
    <w:p w14:paraId="0F915493"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(l) consumer acquisition strategies, project development opportunities, strategic partnership opportunities, and market expansion initiatives; and</w:t>
      </w:r>
    </w:p>
    <w:p w14:paraId="4D537D3F" w14:textId="72732AA2"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lastRenderedPageBreak/>
        <w:t>(m) any other commercial, financial, technical, operational, regulatory, transmission-related, scheduling-related, banking-related, energy-related, renewable-energy-related, strategic, or proprietary information disclosed in connection with the Open Access Arrangement.</w:t>
      </w:r>
    </w:p>
    <w:p w14:paraId="16F8C63C" w14:textId="77777777" w:rsidR="007E59C6" w:rsidRPr="007E59C6" w:rsidRDefault="007E59C6" w:rsidP="007E59C6">
      <w:pPr>
        <w:jc w:val="both"/>
        <w:rPr>
          <w:rFonts w:ascii="Times New Roman" w:hAnsi="Times New Roman" w:cs="Times New Roman"/>
          <w:b/>
          <w:bCs/>
          <w:color w:val="156082" w:themeColor="accent1"/>
        </w:rPr>
      </w:pPr>
      <w:r w:rsidRPr="007E59C6">
        <w:rPr>
          <w:rFonts w:ascii="Times New Roman" w:hAnsi="Times New Roman" w:cs="Times New Roman"/>
          <w:b/>
          <w:bCs/>
          <w:color w:val="156082" w:themeColor="accent1"/>
        </w:rPr>
        <w:t>E. OPTIONAL INTRODUCED CONTACTS DATASET</w:t>
      </w:r>
    </w:p>
    <w:p w14:paraId="60D9B84C"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Open Access Consumers</w:t>
      </w:r>
    </w:p>
    <w:p w14:paraId="1B8026E9"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Corporate Consumers</w:t>
      </w:r>
    </w:p>
    <w:p w14:paraId="1E617052"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Industrial Consumers</w:t>
      </w:r>
    </w:p>
    <w:p w14:paraId="1B1EABB2"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Commercial Consumers</w:t>
      </w:r>
    </w:p>
    <w:p w14:paraId="02AD7E18"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Renewable Energy Developers</w:t>
      </w:r>
    </w:p>
    <w:p w14:paraId="54CB1B8F"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Power Generators</w:t>
      </w:r>
    </w:p>
    <w:p w14:paraId="0EED29AD"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Power Traders</w:t>
      </w:r>
    </w:p>
    <w:p w14:paraId="3B648B78"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DISCOMs</w:t>
      </w:r>
    </w:p>
    <w:p w14:paraId="1B474839"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SLDCs</w:t>
      </w:r>
    </w:p>
    <w:p w14:paraId="18AA6D14"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RLDCs</w:t>
      </w:r>
    </w:p>
    <w:p w14:paraId="5D275ED9"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STUs</w:t>
      </w:r>
    </w:p>
    <w:p w14:paraId="4A6E88B8"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CTUs</w:t>
      </w:r>
    </w:p>
    <w:p w14:paraId="0D7FC52D"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Transmission Utilities</w:t>
      </w:r>
    </w:p>
    <w:p w14:paraId="79BC0A03"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Distribution Utilities</w:t>
      </w:r>
    </w:p>
    <w:p w14:paraId="3DD91DE9"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Grid Operators</w:t>
      </w:r>
    </w:p>
    <w:p w14:paraId="4D5D4132"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Energy Consultants</w:t>
      </w:r>
    </w:p>
    <w:p w14:paraId="0D9AF4EE"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Regulatory Consultants</w:t>
      </w:r>
    </w:p>
    <w:p w14:paraId="0CB3192B"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Investors</w:t>
      </w:r>
    </w:p>
    <w:p w14:paraId="4DD93DC5"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Lenders</w:t>
      </w:r>
    </w:p>
    <w:p w14:paraId="22237C6B"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Banks</w:t>
      </w:r>
    </w:p>
    <w:p w14:paraId="4668E425"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Regulatory Authorities</w:t>
      </w:r>
    </w:p>
    <w:p w14:paraId="41054006" w14:textId="77777777" w:rsidR="007E59C6" w:rsidRPr="007E59C6" w:rsidRDefault="007E59C6" w:rsidP="007E59C6">
      <w:pPr>
        <w:jc w:val="both"/>
        <w:rPr>
          <w:rFonts w:ascii="Times New Roman" w:hAnsi="Times New Roman" w:cs="Times New Roman"/>
          <w:color w:val="156082" w:themeColor="accent1"/>
        </w:rPr>
      </w:pPr>
      <w:r w:rsidRPr="007E59C6">
        <w:rPr>
          <w:rFonts w:ascii="Times New Roman" w:hAnsi="Times New Roman" w:cs="Times New Roman"/>
          <w:color w:val="156082" w:themeColor="accent1"/>
        </w:rPr>
        <w:t>Strategic Partners</w:t>
      </w:r>
    </w:p>
    <w:p w14:paraId="7AA998BE" w14:textId="77777777" w:rsidR="007E59C6" w:rsidRPr="007E59C6" w:rsidRDefault="007E59C6" w:rsidP="007E59C6">
      <w:pPr>
        <w:jc w:val="both"/>
        <w:rPr>
          <w:rFonts w:ascii="Times New Roman" w:hAnsi="Times New Roman" w:cs="Times New Roman"/>
          <w:color w:val="156082" w:themeColor="accent1"/>
        </w:rPr>
      </w:pPr>
    </w:p>
    <w:sectPr w:rsidR="007E59C6" w:rsidRPr="007E59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9035C"/>
    <w:multiLevelType w:val="multilevel"/>
    <w:tmpl w:val="371CB1D2"/>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3BC2EAA"/>
    <w:multiLevelType w:val="multilevel"/>
    <w:tmpl w:val="FC70E7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7F35936"/>
    <w:multiLevelType w:val="multilevel"/>
    <w:tmpl w:val="8ACE927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BA70CE1"/>
    <w:multiLevelType w:val="multilevel"/>
    <w:tmpl w:val="71DEC388"/>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60F01E4E"/>
    <w:multiLevelType w:val="multilevel"/>
    <w:tmpl w:val="9EEEA130"/>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F6E7EC0"/>
    <w:multiLevelType w:val="multilevel"/>
    <w:tmpl w:val="BE6600BA"/>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968395113">
    <w:abstractNumId w:val="1"/>
  </w:num>
  <w:num w:numId="2" w16cid:durableId="73940051">
    <w:abstractNumId w:val="2"/>
  </w:num>
  <w:num w:numId="3" w16cid:durableId="769349532">
    <w:abstractNumId w:val="5"/>
  </w:num>
  <w:num w:numId="4" w16cid:durableId="1881434412">
    <w:abstractNumId w:val="3"/>
  </w:num>
  <w:num w:numId="5" w16cid:durableId="602498900">
    <w:abstractNumId w:val="0"/>
  </w:num>
  <w:num w:numId="6" w16cid:durableId="6771253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9C6"/>
    <w:rsid w:val="007E59C6"/>
    <w:rsid w:val="00E338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90BF5"/>
  <w15:chartTrackingRefBased/>
  <w15:docId w15:val="{947105BA-6B61-4222-8345-C47F97899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9C6"/>
    <w:rPr>
      <w:rFonts w:eastAsiaTheme="majorEastAsia" w:cstheme="majorBidi"/>
      <w:color w:val="272727" w:themeColor="text1" w:themeTint="D8"/>
    </w:rPr>
  </w:style>
  <w:style w:type="paragraph" w:styleId="Title">
    <w:name w:val="Title"/>
    <w:basedOn w:val="Normal"/>
    <w:next w:val="Normal"/>
    <w:link w:val="TitleChar"/>
    <w:uiPriority w:val="10"/>
    <w:qFormat/>
    <w:rsid w:val="007E5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9C6"/>
    <w:pPr>
      <w:spacing w:before="160"/>
      <w:jc w:val="center"/>
    </w:pPr>
    <w:rPr>
      <w:i/>
      <w:iCs/>
      <w:color w:val="404040" w:themeColor="text1" w:themeTint="BF"/>
    </w:rPr>
  </w:style>
  <w:style w:type="character" w:customStyle="1" w:styleId="QuoteChar">
    <w:name w:val="Quote Char"/>
    <w:basedOn w:val="DefaultParagraphFont"/>
    <w:link w:val="Quote"/>
    <w:uiPriority w:val="29"/>
    <w:rsid w:val="007E59C6"/>
    <w:rPr>
      <w:i/>
      <w:iCs/>
      <w:color w:val="404040" w:themeColor="text1" w:themeTint="BF"/>
    </w:rPr>
  </w:style>
  <w:style w:type="paragraph" w:styleId="ListParagraph">
    <w:name w:val="List Paragraph"/>
    <w:basedOn w:val="Normal"/>
    <w:uiPriority w:val="34"/>
    <w:qFormat/>
    <w:rsid w:val="007E59C6"/>
    <w:pPr>
      <w:ind w:left="720"/>
      <w:contextualSpacing/>
    </w:pPr>
  </w:style>
  <w:style w:type="character" w:styleId="IntenseEmphasis">
    <w:name w:val="Intense Emphasis"/>
    <w:basedOn w:val="DefaultParagraphFont"/>
    <w:uiPriority w:val="21"/>
    <w:qFormat/>
    <w:rsid w:val="007E59C6"/>
    <w:rPr>
      <w:i/>
      <w:iCs/>
      <w:color w:val="0F4761" w:themeColor="accent1" w:themeShade="BF"/>
    </w:rPr>
  </w:style>
  <w:style w:type="paragraph" w:styleId="IntenseQuote">
    <w:name w:val="Intense Quote"/>
    <w:basedOn w:val="Normal"/>
    <w:next w:val="Normal"/>
    <w:link w:val="IntenseQuoteChar"/>
    <w:uiPriority w:val="30"/>
    <w:qFormat/>
    <w:rsid w:val="007E5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9C6"/>
    <w:rPr>
      <w:i/>
      <w:iCs/>
      <w:color w:val="0F4761" w:themeColor="accent1" w:themeShade="BF"/>
    </w:rPr>
  </w:style>
  <w:style w:type="character" w:styleId="IntenseReference">
    <w:name w:val="Intense Reference"/>
    <w:basedOn w:val="DefaultParagraphFont"/>
    <w:uiPriority w:val="32"/>
    <w:qFormat/>
    <w:rsid w:val="007E59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768</Words>
  <Characters>4378</Characters>
  <Application>Microsoft Office Word</Application>
  <DocSecurity>0</DocSecurity>
  <Lines>36</Lines>
  <Paragraphs>10</Paragraphs>
  <ScaleCrop>false</ScaleCrop>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2026-06-10T12:59:00Z</dcterms:created>
  <dcterms:modified xsi:type="dcterms:W3CDTF">2026-06-10T13:01:00Z</dcterms:modified>
</cp:coreProperties>
</file>