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DC90" w14:textId="77777777" w:rsidR="00842F5D" w:rsidRPr="00842F5D" w:rsidRDefault="00842F5D" w:rsidP="00842F5D">
      <w:pPr>
        <w:jc w:val="center"/>
        <w:rPr>
          <w:rFonts w:ascii="Times New Roman" w:hAnsi="Times New Roman" w:cs="Times New Roman"/>
          <w:b/>
          <w:bCs/>
          <w:color w:val="156082" w:themeColor="accent1"/>
          <w:u w:val="single"/>
        </w:rPr>
      </w:pPr>
      <w:r w:rsidRPr="00842F5D">
        <w:rPr>
          <w:rFonts w:ascii="Times New Roman" w:hAnsi="Times New Roman" w:cs="Times New Roman"/>
          <w:b/>
          <w:bCs/>
          <w:color w:val="156082" w:themeColor="accent1"/>
          <w:u w:val="single"/>
        </w:rPr>
        <w:t>RE-18 – CAPTIVE POWER DISCUSSIONS</w:t>
      </w:r>
    </w:p>
    <w:p w14:paraId="1C585608" w14:textId="77777777" w:rsidR="00842F5D" w:rsidRPr="00842F5D" w:rsidRDefault="00842F5D" w:rsidP="00842F5D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42F5D">
        <w:rPr>
          <w:rFonts w:ascii="Times New Roman" w:hAnsi="Times New Roman" w:cs="Times New Roman"/>
          <w:b/>
          <w:bCs/>
          <w:color w:val="156082" w:themeColor="accent1"/>
        </w:rPr>
        <w:t>A. PURPOSE DEFINITION</w:t>
      </w:r>
    </w:p>
    <w:p w14:paraId="26BA6083" w14:textId="06497BF3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"Purpose" means the evaluation, discussion, negotiation, structuring, development, financing, ownership, operation, procurement, consumption, implementation, management, or potential establishment of a Captive Power arrangement, Captive Generating Plant, renewable energy captive structure, or related commercial relationship involving the generation and self-consumption of electricity.</w:t>
      </w:r>
    </w:p>
    <w:p w14:paraId="57153B35" w14:textId="77777777" w:rsidR="00842F5D" w:rsidRPr="00842F5D" w:rsidRDefault="00842F5D" w:rsidP="00842F5D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42F5D">
        <w:rPr>
          <w:rFonts w:ascii="Times New Roman" w:hAnsi="Times New Roman" w:cs="Times New Roman"/>
          <w:b/>
          <w:bCs/>
          <w:color w:val="156082" w:themeColor="accent1"/>
        </w:rPr>
        <w:t>B. RECITAL VARIANT</w:t>
      </w:r>
    </w:p>
    <w:p w14:paraId="648D543E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842F5D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842F5D">
        <w:rPr>
          <w:rFonts w:ascii="Times New Roman" w:hAnsi="Times New Roman" w:cs="Times New Roman"/>
          <w:color w:val="156082" w:themeColor="accent1"/>
        </w:rPr>
        <w:t xml:space="preserve"> the Parties desire to evaluate and discuss a potential Captive Power arrangement, renewable energy captive structure, self-consumption opportunity, electricity procurement arrangement, or related commercial relationship;</w:t>
      </w:r>
    </w:p>
    <w:p w14:paraId="1CE5AF42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WHEREAS, in connection with such discussions, evaluations, regulatory assessments, ownership analyses, commercial negotiations, and transaction activities, the Parties may disclose and exchange confidential commercial, financial, technical, operational, regulatory, ownership-related, and proprietary information;</w:t>
      </w:r>
    </w:p>
    <w:p w14:paraId="232374D6" w14:textId="3CCF82C4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842F5D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842F5D">
        <w:rPr>
          <w:rFonts w:ascii="Times New Roman" w:hAnsi="Times New Roman" w:cs="Times New Roman"/>
          <w:color w:val="156082" w:themeColor="accent1"/>
        </w:rPr>
        <w:t xml:space="preserve"> the Parties wish to establish the terms and conditions governing the disclosure, protection, use, and handling of such Confidential Information.</w:t>
      </w:r>
    </w:p>
    <w:p w14:paraId="22460013" w14:textId="77777777" w:rsidR="00842F5D" w:rsidRPr="00842F5D" w:rsidRDefault="00842F5D" w:rsidP="00842F5D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42F5D">
        <w:rPr>
          <w:rFonts w:ascii="Times New Roman" w:hAnsi="Times New Roman" w:cs="Times New Roman"/>
          <w:b/>
          <w:bCs/>
          <w:color w:val="156082" w:themeColor="accent1"/>
        </w:rPr>
        <w:t>C. ADDITIONAL DEFINITIONS</w:t>
      </w:r>
    </w:p>
    <w:p w14:paraId="727D9392" w14:textId="77777777" w:rsidR="00842F5D" w:rsidRPr="00842F5D" w:rsidRDefault="00842F5D" w:rsidP="00842F5D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42F5D">
        <w:rPr>
          <w:rFonts w:ascii="Times New Roman" w:hAnsi="Times New Roman" w:cs="Times New Roman"/>
          <w:b/>
          <w:bCs/>
          <w:color w:val="156082" w:themeColor="accent1"/>
        </w:rPr>
        <w:t>Captive Generating Plant</w:t>
      </w:r>
    </w:p>
    <w:p w14:paraId="56932A7E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"Captive Generating Plant" or "CGP" means a power generation facility established, owned, operated, or utilized in accordance with Applicable Law for captive consumption by eligible users.</w:t>
      </w:r>
    </w:p>
    <w:p w14:paraId="66D217AF" w14:textId="77777777" w:rsidR="00842F5D" w:rsidRPr="00842F5D" w:rsidRDefault="00842F5D" w:rsidP="00842F5D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42F5D">
        <w:rPr>
          <w:rFonts w:ascii="Times New Roman" w:hAnsi="Times New Roman" w:cs="Times New Roman"/>
          <w:b/>
          <w:bCs/>
          <w:color w:val="156082" w:themeColor="accent1"/>
        </w:rPr>
        <w:t>Captive User</w:t>
      </w:r>
    </w:p>
    <w:p w14:paraId="24E394B4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"Captive User" means any person, company, entity, shareholder, participant, consumer, or user entitled to consume electricity generated from a Captive Generating Plant in accordance with Applicable Law.</w:t>
      </w:r>
    </w:p>
    <w:p w14:paraId="49CC8818" w14:textId="77777777" w:rsidR="00842F5D" w:rsidRPr="00842F5D" w:rsidRDefault="00842F5D" w:rsidP="00842F5D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42F5D">
        <w:rPr>
          <w:rFonts w:ascii="Times New Roman" w:hAnsi="Times New Roman" w:cs="Times New Roman"/>
          <w:b/>
          <w:bCs/>
          <w:color w:val="156082" w:themeColor="accent1"/>
        </w:rPr>
        <w:t>Captive Structure</w:t>
      </w:r>
    </w:p>
    <w:p w14:paraId="468DDE3B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"Captive Structure" means the ownership, shareholding, governance, operational, consumption, and regulatory framework established to qualify a project as a Captive Generating Plant.</w:t>
      </w:r>
    </w:p>
    <w:p w14:paraId="4B934B49" w14:textId="77777777" w:rsidR="00842F5D" w:rsidRPr="00842F5D" w:rsidRDefault="00842F5D" w:rsidP="00842F5D">
      <w:pPr>
        <w:numPr>
          <w:ilvl w:val="0"/>
          <w:numId w:val="4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42F5D">
        <w:rPr>
          <w:rFonts w:ascii="Times New Roman" w:hAnsi="Times New Roman" w:cs="Times New Roman"/>
          <w:b/>
          <w:bCs/>
          <w:color w:val="156082" w:themeColor="accent1"/>
        </w:rPr>
        <w:t>Consumption Information</w:t>
      </w:r>
    </w:p>
    <w:p w14:paraId="6CBBFECB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"Consumption Information" means information relating to electricity consumption, energy usage, demand profiles, consumption forecasts, consumption obligations, and consumption compliance requirements.</w:t>
      </w:r>
    </w:p>
    <w:p w14:paraId="032A9255" w14:textId="77777777" w:rsidR="00842F5D" w:rsidRPr="00842F5D" w:rsidRDefault="00842F5D" w:rsidP="00842F5D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42F5D">
        <w:rPr>
          <w:rFonts w:ascii="Times New Roman" w:hAnsi="Times New Roman" w:cs="Times New Roman"/>
          <w:b/>
          <w:bCs/>
          <w:color w:val="156082" w:themeColor="accent1"/>
        </w:rPr>
        <w:t>Ownership Information</w:t>
      </w:r>
    </w:p>
    <w:p w14:paraId="133C7F9A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lastRenderedPageBreak/>
        <w:t>"Ownership Information" means information relating to shareholding structures, equity participation, ownership rights, governance rights, voting rights, and shareholder obligations relevant to the Captive Structure.</w:t>
      </w:r>
    </w:p>
    <w:p w14:paraId="12F7FDAF" w14:textId="77777777" w:rsidR="00842F5D" w:rsidRPr="00842F5D" w:rsidRDefault="00842F5D" w:rsidP="00842F5D">
      <w:pPr>
        <w:numPr>
          <w:ilvl w:val="0"/>
          <w:numId w:val="6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42F5D">
        <w:rPr>
          <w:rFonts w:ascii="Times New Roman" w:hAnsi="Times New Roman" w:cs="Times New Roman"/>
          <w:b/>
          <w:bCs/>
          <w:color w:val="156082" w:themeColor="accent1"/>
        </w:rPr>
        <w:t>Captive Documentation</w:t>
      </w:r>
    </w:p>
    <w:p w14:paraId="7D441DDD" w14:textId="064A34EA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"Captive Documentation" means shareholder agreements, subscription agreements, captive participation agreements, energy supply agreements, Open Access documentation, regulatory filings, and related contractual documentation.</w:t>
      </w:r>
    </w:p>
    <w:p w14:paraId="393AB041" w14:textId="77777777" w:rsidR="00842F5D" w:rsidRPr="00842F5D" w:rsidRDefault="00842F5D" w:rsidP="00842F5D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42F5D">
        <w:rPr>
          <w:rFonts w:ascii="Times New Roman" w:hAnsi="Times New Roman" w:cs="Times New Roman"/>
          <w:b/>
          <w:bCs/>
          <w:color w:val="156082" w:themeColor="accent1"/>
        </w:rPr>
        <w:t>D. CONFIDENTIAL INFORMATION EXPANSION</w:t>
      </w:r>
    </w:p>
    <w:p w14:paraId="1B8888F4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Without limitation, Confidential Information includes:</w:t>
      </w:r>
    </w:p>
    <w:p w14:paraId="5FFABC39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(a) captive ownership structures, shareholding structures, governance arrangements, shareholder participation structures, and captive compliance frameworks;</w:t>
      </w:r>
    </w:p>
    <w:p w14:paraId="3113D0C4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(b) electricity consumption data, load profiles, consumption forecasts, demand forecasts, usage analyses, and consumption projections;</w:t>
      </w:r>
    </w:p>
    <w:p w14:paraId="603CC4EB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(c) generation forecasts, energy production forecasts, generation studies, scheduling assumptions, dispatch plans, and availability projections;</w:t>
      </w:r>
    </w:p>
    <w:p w14:paraId="165B63C9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(d) shareholder information, equity participation information, ownership analyses, governance rights, voting arrangements, and participation obligations;</w:t>
      </w:r>
    </w:p>
    <w:p w14:paraId="4B0FC586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(e) captive compliance analyses, legal assessments, regulatory assessments, ownership compliance reviews, and consumption compliance reviews;</w:t>
      </w:r>
    </w:p>
    <w:p w14:paraId="371985AA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(f) project financial models, investment analyses, return-on-investment analyses, savings projections, tariff analyses, and commercial evaluations;</w:t>
      </w:r>
    </w:p>
    <w:p w14:paraId="69299862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(g) Open Access arrangements, wheeling arrangements, transmission arrangements, banking arrangements, and energy settlement methodologies;</w:t>
      </w:r>
    </w:p>
    <w:p w14:paraId="7BC7C855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(h) regulatory approvals, compliance requirements, governmental approvals, policy assessments, regulatory filings, and correspondence with authorities;</w:t>
      </w:r>
    </w:p>
    <w:p w14:paraId="3A5D51D3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(</w:t>
      </w:r>
      <w:proofErr w:type="spellStart"/>
      <w:r w:rsidRPr="00842F5D">
        <w:rPr>
          <w:rFonts w:ascii="Times New Roman" w:hAnsi="Times New Roman" w:cs="Times New Roman"/>
          <w:color w:val="156082" w:themeColor="accent1"/>
        </w:rPr>
        <w:t>i</w:t>
      </w:r>
      <w:proofErr w:type="spellEnd"/>
      <w:r w:rsidRPr="00842F5D">
        <w:rPr>
          <w:rFonts w:ascii="Times New Roman" w:hAnsi="Times New Roman" w:cs="Times New Roman"/>
          <w:color w:val="156082" w:themeColor="accent1"/>
        </w:rPr>
        <w:t>) shareholder agreements, captive participation agreements, subscription arrangements, investment documentation, and transaction structures;</w:t>
      </w:r>
    </w:p>
    <w:p w14:paraId="2918E9B0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(j) operational reports, energy accounting reports, consumption reports, scheduling reports, forecasting reports, and compliance reports;</w:t>
      </w:r>
    </w:p>
    <w:p w14:paraId="3BC9DD34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(k) financing arrangements, lender assessments, investor assessments, debt structures, refinancing opportunities, and capital planning information;</w:t>
      </w:r>
    </w:p>
    <w:p w14:paraId="4A37ECAE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(l) strategic procurement plans, expansion opportunities, project development opportunities, and strategic partnership opportunities; and</w:t>
      </w:r>
    </w:p>
    <w:p w14:paraId="63EC793A" w14:textId="1E607096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lastRenderedPageBreak/>
        <w:t>(m) any other commercial, financial, technical, operational, regulatory, ownership-related, consumption-related, energy-related, captive-related, renewable-energy-related, strategic, or proprietary information disclosed in connection with the Captive Power Arrangement.</w:t>
      </w:r>
    </w:p>
    <w:p w14:paraId="01F3956B" w14:textId="77777777" w:rsidR="00842F5D" w:rsidRPr="00842F5D" w:rsidRDefault="00842F5D" w:rsidP="00842F5D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42F5D">
        <w:rPr>
          <w:rFonts w:ascii="Times New Roman" w:hAnsi="Times New Roman" w:cs="Times New Roman"/>
          <w:b/>
          <w:bCs/>
          <w:color w:val="156082" w:themeColor="accent1"/>
        </w:rPr>
        <w:t>E. OPTIONAL INTRODUCED CONTACTS DATASET</w:t>
      </w:r>
    </w:p>
    <w:p w14:paraId="78B7DA32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Captive Users</w:t>
      </w:r>
    </w:p>
    <w:p w14:paraId="403AB670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Corporate Consumers</w:t>
      </w:r>
    </w:p>
    <w:p w14:paraId="2775C46D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Industrial Consumers</w:t>
      </w:r>
    </w:p>
    <w:p w14:paraId="6BFD45FD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Commercial Consumers</w:t>
      </w:r>
    </w:p>
    <w:p w14:paraId="6E72E42F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Project Developers</w:t>
      </w:r>
    </w:p>
    <w:p w14:paraId="48A8C0DB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Renewable Energy Developers</w:t>
      </w:r>
    </w:p>
    <w:p w14:paraId="0CFB6D0D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Shareholders</w:t>
      </w:r>
    </w:p>
    <w:p w14:paraId="249336E2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Investors</w:t>
      </w:r>
    </w:p>
    <w:p w14:paraId="3EAD478E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Power Generators</w:t>
      </w:r>
    </w:p>
    <w:p w14:paraId="189EE90E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Power Traders</w:t>
      </w:r>
    </w:p>
    <w:p w14:paraId="235F8917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DISCOMs</w:t>
      </w:r>
    </w:p>
    <w:p w14:paraId="231B0A61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SLDCs</w:t>
      </w:r>
    </w:p>
    <w:p w14:paraId="5F69E89A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RLDCs</w:t>
      </w:r>
    </w:p>
    <w:p w14:paraId="7D0D5314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STUs</w:t>
      </w:r>
    </w:p>
    <w:p w14:paraId="03391F21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CTUs</w:t>
      </w:r>
    </w:p>
    <w:p w14:paraId="416BE804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Transmission Utilities</w:t>
      </w:r>
    </w:p>
    <w:p w14:paraId="63B0AFAE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Energy Consultants</w:t>
      </w:r>
    </w:p>
    <w:p w14:paraId="0C5088F8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Legal Advisors</w:t>
      </w:r>
    </w:p>
    <w:p w14:paraId="08A35502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Regulatory Consultants</w:t>
      </w:r>
    </w:p>
    <w:p w14:paraId="7D00E911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Lenders</w:t>
      </w:r>
    </w:p>
    <w:p w14:paraId="26FA2BFC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Banks</w:t>
      </w:r>
    </w:p>
    <w:p w14:paraId="6676314B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Regulatory Authorities</w:t>
      </w:r>
    </w:p>
    <w:p w14:paraId="5F4E06C6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  <w:r w:rsidRPr="00842F5D">
        <w:rPr>
          <w:rFonts w:ascii="Times New Roman" w:hAnsi="Times New Roman" w:cs="Times New Roman"/>
          <w:color w:val="156082" w:themeColor="accent1"/>
        </w:rPr>
        <w:t>Strategic Partners</w:t>
      </w:r>
    </w:p>
    <w:p w14:paraId="4C3DC666" w14:textId="77777777" w:rsidR="00842F5D" w:rsidRPr="00842F5D" w:rsidRDefault="00842F5D" w:rsidP="00842F5D">
      <w:pPr>
        <w:jc w:val="both"/>
        <w:rPr>
          <w:rFonts w:ascii="Times New Roman" w:hAnsi="Times New Roman" w:cs="Times New Roman"/>
          <w:color w:val="156082" w:themeColor="accent1"/>
        </w:rPr>
      </w:pPr>
    </w:p>
    <w:sectPr w:rsidR="00842F5D" w:rsidRPr="00842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21B"/>
    <w:multiLevelType w:val="multilevel"/>
    <w:tmpl w:val="9EBE7C0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7F9628B"/>
    <w:multiLevelType w:val="multilevel"/>
    <w:tmpl w:val="751081D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51D5583"/>
    <w:multiLevelType w:val="multilevel"/>
    <w:tmpl w:val="6FF2FE0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0F95D1B"/>
    <w:multiLevelType w:val="multilevel"/>
    <w:tmpl w:val="46D0190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04D6A16"/>
    <w:multiLevelType w:val="multilevel"/>
    <w:tmpl w:val="5B20491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9B176C8"/>
    <w:multiLevelType w:val="multilevel"/>
    <w:tmpl w:val="347E24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66518155">
    <w:abstractNumId w:val="5"/>
  </w:num>
  <w:num w:numId="2" w16cid:durableId="990135858">
    <w:abstractNumId w:val="0"/>
  </w:num>
  <w:num w:numId="3" w16cid:durableId="1894584492">
    <w:abstractNumId w:val="2"/>
  </w:num>
  <w:num w:numId="4" w16cid:durableId="645859235">
    <w:abstractNumId w:val="4"/>
  </w:num>
  <w:num w:numId="5" w16cid:durableId="863324910">
    <w:abstractNumId w:val="1"/>
  </w:num>
  <w:num w:numId="6" w16cid:durableId="77755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5D"/>
    <w:rsid w:val="00842F5D"/>
    <w:rsid w:val="00E3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ED8CF"/>
  <w15:chartTrackingRefBased/>
  <w15:docId w15:val="{8510A62E-FB0F-47CA-9D11-9E55D2D7F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2026-06-10T13:01:00Z</dcterms:created>
  <dcterms:modified xsi:type="dcterms:W3CDTF">2026-06-10T13:03:00Z</dcterms:modified>
</cp:coreProperties>
</file>