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6418" w14:textId="77777777" w:rsidR="008C48EB" w:rsidRPr="008C48EB" w:rsidRDefault="008C48EB" w:rsidP="008C48EB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  <w:u w:val="single"/>
        </w:rPr>
        <w:t>RE-19 – GROUP CAPTIVE DISCUSSIONS</w:t>
      </w:r>
    </w:p>
    <w:p w14:paraId="7F6DE593" w14:textId="77777777" w:rsidR="008C48EB" w:rsidRPr="008C48EB" w:rsidRDefault="008C48EB" w:rsidP="008C48E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343024D5" w14:textId="52B877BF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"Purpose" means the evaluation, discussion, negotiation, structuring, development, financing, ownership, participation, operation, procurement, consumption, implementation, management, or potential establishment of a Group Captive arrangement, Group Captive Generating Plant, renewable energy group captive structure, or related commercial relationship involving multiple captive users collectively owning and consuming electricity generated from a renewable energy project.</w:t>
      </w:r>
    </w:p>
    <w:p w14:paraId="3601D21A" w14:textId="77777777" w:rsidR="008C48EB" w:rsidRPr="008C48EB" w:rsidRDefault="008C48EB" w:rsidP="008C48E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7EE5F74C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8C48EB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8C48EB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Group Captive arrangement, renewable energy group captive structure, collective ownership opportunity, electricity procurement arrangement, or related commercial relationship;</w:t>
      </w:r>
    </w:p>
    <w:p w14:paraId="574D263A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WHEREAS, in connection with such discussions, evaluations, regulatory assessments, ownership analyses, commercial negotiations, and transaction activities, the Parties may disclose and exchange confidential commercial, financial, technical, operational, regulatory, ownership-related, consumption-related, and proprietary information;</w:t>
      </w:r>
    </w:p>
    <w:p w14:paraId="0392011B" w14:textId="0BB0538D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proofErr w:type="gramStart"/>
      <w:r w:rsidRPr="008C48EB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8C48EB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13412D85" w14:textId="77777777" w:rsidR="008C48EB" w:rsidRPr="008C48EB" w:rsidRDefault="008C48EB" w:rsidP="008C48E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467C1072" w14:textId="77777777" w:rsidR="008C48EB" w:rsidRPr="008C48EB" w:rsidRDefault="008C48EB" w:rsidP="008C48EB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Group Captive Generating Plant</w:t>
      </w:r>
    </w:p>
    <w:p w14:paraId="208FCA0C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"Group Captive Generating Plant" or "GCGP" means a power generation facility owned collectively by two or more captive users and operated in accordance with Applicable Law governing group captive arrangements.</w:t>
      </w:r>
    </w:p>
    <w:p w14:paraId="4746DFA9" w14:textId="77777777" w:rsidR="008C48EB" w:rsidRPr="008C48EB" w:rsidRDefault="008C48EB" w:rsidP="008C48EB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Group Captive User</w:t>
      </w:r>
    </w:p>
    <w:p w14:paraId="04FF442B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"Group Captive User" means any shareholder, participant, member, consumer, company, entity, or person entitled to consume electricity generated by a Group Captive Generating Plant in accordance with Applicable Law.</w:t>
      </w:r>
    </w:p>
    <w:p w14:paraId="4FE6DD11" w14:textId="77777777" w:rsidR="008C48EB" w:rsidRPr="008C48EB" w:rsidRDefault="008C48EB" w:rsidP="008C48EB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Group Captive Structure</w:t>
      </w:r>
    </w:p>
    <w:p w14:paraId="66BBBEE6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"Group Captive Structure" means the ownership, shareholding, governance, operational, consumption, regulatory, and contractual framework established to qualify a project as a Group Captive Generating Plant.</w:t>
      </w:r>
    </w:p>
    <w:p w14:paraId="4B9762B5" w14:textId="77777777" w:rsidR="008C48EB" w:rsidRPr="008C48EB" w:rsidRDefault="008C48EB" w:rsidP="008C48EB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Participation Information</w:t>
      </w:r>
    </w:p>
    <w:p w14:paraId="09B29BD7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"Participation Information" means information relating to shareholder participation, equity participation, membership interests, ownership allocations, voting rights, governance rights, and participant obligations.</w:t>
      </w:r>
    </w:p>
    <w:p w14:paraId="241131AB" w14:textId="77777777" w:rsidR="008C48EB" w:rsidRPr="008C48EB" w:rsidRDefault="008C48EB" w:rsidP="008C48EB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lastRenderedPageBreak/>
        <w:t>Consumption Information</w:t>
      </w:r>
    </w:p>
    <w:p w14:paraId="42AB2731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"Consumption Information" means information relating to electricity consumption, energy usage, consumption forecasts, demand forecasts, consumption allocations, consumption obligations, and regulatory compliance requirements.</w:t>
      </w:r>
    </w:p>
    <w:p w14:paraId="3B0B53E0" w14:textId="77777777" w:rsidR="008C48EB" w:rsidRPr="008C48EB" w:rsidRDefault="008C48EB" w:rsidP="008C48EB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Group Captive Documentation</w:t>
      </w:r>
    </w:p>
    <w:p w14:paraId="0152F870" w14:textId="1F2A7CFF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"Group Captive Documentation" means shareholder agreements, participation agreements, subscription agreements, energy supply agreements, Open Access documentation, governance documentation, regulatory filings, and related contractual documentation.</w:t>
      </w:r>
    </w:p>
    <w:p w14:paraId="67118314" w14:textId="77777777" w:rsidR="008C48EB" w:rsidRPr="008C48EB" w:rsidRDefault="008C48EB" w:rsidP="008C48E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25DE7E6B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63A4A03E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(a) group captive ownership structures, shareholding structures, participation structures, governance arrangements, and compliance frameworks;</w:t>
      </w:r>
    </w:p>
    <w:p w14:paraId="3DA44E67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(b) shareholder participation information, membership information, equity allocations, voting rights, governance rights, and ownership obligations;</w:t>
      </w:r>
    </w:p>
    <w:p w14:paraId="6360A420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(c) electricity consumption data, participant consumption information, load profiles, consumption forecasts, demand forecasts, and energy allocation methodologies;</w:t>
      </w:r>
    </w:p>
    <w:p w14:paraId="0D85503F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(d) generation forecasts, energy production forecasts, scheduling assumptions, dispatch plans, availability projections, and energy accounting methodologies;</w:t>
      </w:r>
    </w:p>
    <w:p w14:paraId="4E643496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(e) group captive compliance analyses, ownership compliance assessments, consumption compliance assessments, legal reviews, and regulatory evaluations;</w:t>
      </w:r>
    </w:p>
    <w:p w14:paraId="75424511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(f) shareholder agreements, participation agreements, subscription arrangements, governance documents, investment arrangements, and transaction structures;</w:t>
      </w:r>
    </w:p>
    <w:p w14:paraId="0A609092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(g) project financial models, investment analyses, savings projections, tariff analyses, return-on-investment assessments, and commercial evaluations;</w:t>
      </w:r>
    </w:p>
    <w:p w14:paraId="3596DA07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(h) Open Access arrangements, wheeling arrangements, transmission arrangements, banking arrangements, settlement mechanisms, and energy accounting procedures;</w:t>
      </w:r>
    </w:p>
    <w:p w14:paraId="7736FFBA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8C48EB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8C48EB">
        <w:rPr>
          <w:rFonts w:ascii="Times New Roman" w:hAnsi="Times New Roman" w:cs="Times New Roman"/>
          <w:color w:val="156082" w:themeColor="accent1"/>
        </w:rPr>
        <w:t>) financing arrangements, debt structures, lender assessments, refinancing opportunities, investor assessments, and capital planning information;</w:t>
      </w:r>
    </w:p>
    <w:p w14:paraId="13FD83D3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(j) regulatory approvals, compliance requirements, governmental approvals, policy assessments, regulatory filings, and correspondence with authorities;</w:t>
      </w:r>
    </w:p>
    <w:p w14:paraId="7FB6F5DD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(k) operational reports, scheduling reports, forecasting reports, compliance reports, participant reports, and performance reports;</w:t>
      </w:r>
    </w:p>
    <w:p w14:paraId="290312AD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(l) strategic expansion plans, participant onboarding opportunities, project development opportunities, and strategic partnership opportunities; and</w:t>
      </w:r>
    </w:p>
    <w:p w14:paraId="1DC1D3B8" w14:textId="6797CCA9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lastRenderedPageBreak/>
        <w:t>(m) any other commercial, financial, technical, operational, regulatory, ownership-related, participation-related, consumption-related, energy-related, group-captive-related, renewable-energy-related, strategic, or proprietary information disclosed in connection with the Group Captive Arrangement.</w:t>
      </w:r>
    </w:p>
    <w:p w14:paraId="2FE3EE85" w14:textId="77777777" w:rsidR="008C48EB" w:rsidRPr="008C48EB" w:rsidRDefault="008C48EB" w:rsidP="008C48EB">
      <w:pPr>
        <w:jc w:val="both"/>
        <w:rPr>
          <w:rFonts w:ascii="Times New Roman" w:hAnsi="Times New Roman" w:cs="Times New Roman"/>
          <w:b/>
          <w:bCs/>
          <w:color w:val="156082" w:themeColor="accent1"/>
        </w:rPr>
      </w:pPr>
      <w:r w:rsidRPr="008C48EB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56423264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Group Captive Users</w:t>
      </w:r>
    </w:p>
    <w:p w14:paraId="44940A82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Corporate Consumers</w:t>
      </w:r>
    </w:p>
    <w:p w14:paraId="7E63F171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Industrial Consumers</w:t>
      </w:r>
    </w:p>
    <w:p w14:paraId="5B32828C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Commercial Consumers</w:t>
      </w:r>
    </w:p>
    <w:p w14:paraId="3BC7107F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Project Developers</w:t>
      </w:r>
    </w:p>
    <w:p w14:paraId="5ED0B798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Renewable Energy Developers</w:t>
      </w:r>
    </w:p>
    <w:p w14:paraId="08202BCC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Shareholders</w:t>
      </w:r>
    </w:p>
    <w:p w14:paraId="553CE1F6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Investors</w:t>
      </w:r>
    </w:p>
    <w:p w14:paraId="1BB584B1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Power Generators</w:t>
      </w:r>
    </w:p>
    <w:p w14:paraId="1DB04A7A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Power Traders</w:t>
      </w:r>
    </w:p>
    <w:p w14:paraId="0F25EB70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DISCOMs</w:t>
      </w:r>
    </w:p>
    <w:p w14:paraId="3CC5D53F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SLDCs</w:t>
      </w:r>
    </w:p>
    <w:p w14:paraId="0C929626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RLDCs</w:t>
      </w:r>
    </w:p>
    <w:p w14:paraId="6E96F57C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STUs</w:t>
      </w:r>
    </w:p>
    <w:p w14:paraId="30549367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CTUs</w:t>
      </w:r>
    </w:p>
    <w:p w14:paraId="37A7ABE9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Transmission Utilities</w:t>
      </w:r>
    </w:p>
    <w:p w14:paraId="367AED26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Energy Consultants</w:t>
      </w:r>
    </w:p>
    <w:p w14:paraId="24E8AD0A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Legal Advisors</w:t>
      </w:r>
    </w:p>
    <w:p w14:paraId="0D431122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Regulatory Consultants</w:t>
      </w:r>
    </w:p>
    <w:p w14:paraId="60F4F72D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Lenders</w:t>
      </w:r>
    </w:p>
    <w:p w14:paraId="30BB7189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Banks</w:t>
      </w:r>
    </w:p>
    <w:p w14:paraId="21FF55BC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Regulatory Authorities</w:t>
      </w:r>
    </w:p>
    <w:p w14:paraId="5B88D347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  <w:r w:rsidRPr="008C48EB">
        <w:rPr>
          <w:rFonts w:ascii="Times New Roman" w:hAnsi="Times New Roman" w:cs="Times New Roman"/>
          <w:color w:val="156082" w:themeColor="accent1"/>
        </w:rPr>
        <w:t>Strategic Partners</w:t>
      </w:r>
    </w:p>
    <w:p w14:paraId="190BA5B6" w14:textId="77777777" w:rsidR="008C48EB" w:rsidRPr="008C48EB" w:rsidRDefault="008C48EB" w:rsidP="008C48EB">
      <w:pPr>
        <w:jc w:val="both"/>
        <w:rPr>
          <w:rFonts w:ascii="Times New Roman" w:hAnsi="Times New Roman" w:cs="Times New Roman"/>
          <w:color w:val="156082" w:themeColor="accent1"/>
        </w:rPr>
      </w:pPr>
    </w:p>
    <w:sectPr w:rsidR="008C48EB" w:rsidRPr="008C4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C20FC"/>
    <w:multiLevelType w:val="multilevel"/>
    <w:tmpl w:val="243A273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159937C2"/>
    <w:multiLevelType w:val="multilevel"/>
    <w:tmpl w:val="809667C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54102784"/>
    <w:multiLevelType w:val="multilevel"/>
    <w:tmpl w:val="3698B50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5A5C44BE"/>
    <w:multiLevelType w:val="multilevel"/>
    <w:tmpl w:val="F1C6BB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5B2D1BDF"/>
    <w:multiLevelType w:val="multilevel"/>
    <w:tmpl w:val="F1E8F54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E4A33E1"/>
    <w:multiLevelType w:val="multilevel"/>
    <w:tmpl w:val="06146D9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56904990">
    <w:abstractNumId w:val="3"/>
  </w:num>
  <w:num w:numId="2" w16cid:durableId="1287590432">
    <w:abstractNumId w:val="0"/>
  </w:num>
  <w:num w:numId="3" w16cid:durableId="375205689">
    <w:abstractNumId w:val="1"/>
  </w:num>
  <w:num w:numId="4" w16cid:durableId="1782526090">
    <w:abstractNumId w:val="2"/>
  </w:num>
  <w:num w:numId="5" w16cid:durableId="1745252349">
    <w:abstractNumId w:val="4"/>
  </w:num>
  <w:num w:numId="6" w16cid:durableId="5352398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EB"/>
    <w:rsid w:val="008C48EB"/>
    <w:rsid w:val="00E3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74695"/>
  <w15:chartTrackingRefBased/>
  <w15:docId w15:val="{259ACA58-77D6-4F15-95A8-43A7932C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801</Words>
  <Characters>4572</Characters>
  <Application>Microsoft Office Word</Application>
  <DocSecurity>0</DocSecurity>
  <Lines>38</Lines>
  <Paragraphs>10</Paragraphs>
  <ScaleCrop>false</ScaleCrop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2026-06-10T13:03:00Z</dcterms:created>
  <dcterms:modified xsi:type="dcterms:W3CDTF">2026-06-10T13:04:00Z</dcterms:modified>
</cp:coreProperties>
</file>