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387C" w14:textId="77777777" w:rsidR="00721A4F" w:rsidRPr="00721A4F" w:rsidRDefault="00721A4F" w:rsidP="00721A4F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  <w:u w:val="single"/>
        </w:rPr>
        <w:t>RE-20 – ENERGY TRADING DISCUSSIONS</w:t>
      </w:r>
    </w:p>
    <w:p w14:paraId="4FADABC3" w14:textId="77777777" w:rsidR="00721A4F" w:rsidRPr="00721A4F" w:rsidRDefault="00721A4F" w:rsidP="00721A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13E68FB0" w14:textId="5D3A0D88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"Purpose" means the evaluation, discussion, negotiation, structuring, procurement, sale, purchase, trading, exchange, scheduling, settlement, financing, management, or potential establishment of electricity trading arrangements, renewable energy trading transactions, merchant power arrangements, exchange-based transactions, bilateral transactions, or related commercial relationships involving the sale and purchase of electrical energy.</w:t>
      </w:r>
    </w:p>
    <w:p w14:paraId="0F230CA3" w14:textId="77777777" w:rsidR="00721A4F" w:rsidRPr="00721A4F" w:rsidRDefault="00721A4F" w:rsidP="00721A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4EA87772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21A4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21A4F">
        <w:rPr>
          <w:rFonts w:ascii="Times New Roman" w:hAnsi="Times New Roman" w:cs="Times New Roman"/>
          <w:color w:val="156082" w:themeColor="accent1"/>
        </w:rPr>
        <w:t xml:space="preserve"> the Parties desire to evaluate and discuss one or more electricity trading opportunities, renewable energy trading arrangements, merchant power opportunities, exchange-based transactions, bilateral power sale arrangements, or related commercial relationships;</w:t>
      </w:r>
    </w:p>
    <w:p w14:paraId="2FFB2D07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WHEREAS, in connection with such discussions, evaluations, market assessments, commercial negotiations, and transaction activities, the Parties may disclose and exchange confidential commercial, financial, technical, operational, regulatory, market-related, and proprietary information;</w:t>
      </w:r>
    </w:p>
    <w:p w14:paraId="2BE704DD" w14:textId="2A761441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21A4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21A4F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58B26E5F" w14:textId="77777777" w:rsidR="00721A4F" w:rsidRPr="00721A4F" w:rsidRDefault="00721A4F" w:rsidP="00721A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5041156B" w14:textId="77777777" w:rsidR="00721A4F" w:rsidRPr="00721A4F" w:rsidRDefault="00721A4F" w:rsidP="00721A4F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Energy Trading Transaction</w:t>
      </w:r>
    </w:p>
    <w:p w14:paraId="6BDF7AB7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"Energy Trading Transaction" means any actual, proposed, contemplated, or potential transaction involving the purchase, sale, supply, trading, exchange, scheduling, delivery, settlement, or transfer of electricity.</w:t>
      </w:r>
    </w:p>
    <w:p w14:paraId="7773BE4E" w14:textId="77777777" w:rsidR="00721A4F" w:rsidRPr="00721A4F" w:rsidRDefault="00721A4F" w:rsidP="00721A4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Trader</w:t>
      </w:r>
    </w:p>
    <w:p w14:paraId="2E58B20B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"Trader" means any licensed electricity trader, market participant, intermediary, energy marketer, exchange participant, aggregator, or other entity involved in electricity trading activities.</w:t>
      </w:r>
    </w:p>
    <w:p w14:paraId="1BB325A4" w14:textId="77777777" w:rsidR="00721A4F" w:rsidRPr="00721A4F" w:rsidRDefault="00721A4F" w:rsidP="00721A4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Merchant Power Arrangement</w:t>
      </w:r>
    </w:p>
    <w:p w14:paraId="42B7CFA8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"Merchant Power Arrangement" means any arrangement under which electricity is sold without a long-term fixed offtake agreement and is exposed to prevailing market prices.</w:t>
      </w:r>
    </w:p>
    <w:p w14:paraId="20A63A06" w14:textId="77777777" w:rsidR="00721A4F" w:rsidRPr="00721A4F" w:rsidRDefault="00721A4F" w:rsidP="00721A4F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Trading Information</w:t>
      </w:r>
    </w:p>
    <w:p w14:paraId="240CB16D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"Trading Information" means information relating to trading strategies, trading opportunities, market positions, transaction structures, pricing arrangements, scheduling obligations, and settlement mechanisms.</w:t>
      </w:r>
    </w:p>
    <w:p w14:paraId="15FF73BF" w14:textId="77777777" w:rsidR="00721A4F" w:rsidRPr="00721A4F" w:rsidRDefault="00721A4F" w:rsidP="00721A4F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Market Information</w:t>
      </w:r>
    </w:p>
    <w:p w14:paraId="0408355D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lastRenderedPageBreak/>
        <w:t>"Market Information" means information relating to electricity markets, exchange prices, market forecasts, demand forecasts, supply forecasts, trading volumes, congestion information, and market opportunities.</w:t>
      </w:r>
    </w:p>
    <w:p w14:paraId="49F3F57E" w14:textId="77777777" w:rsidR="00721A4F" w:rsidRPr="00721A4F" w:rsidRDefault="00721A4F" w:rsidP="00721A4F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Trading Documentation</w:t>
      </w:r>
    </w:p>
    <w:p w14:paraId="26185F55" w14:textId="61AC7598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"Trading Documentation" means trading agreements, power sale agreements, exchange documentation, scheduling documentation, settlement documentation, market participation documentation, and related contractual arrangements.</w:t>
      </w:r>
    </w:p>
    <w:p w14:paraId="100E178C" w14:textId="77777777" w:rsidR="00721A4F" w:rsidRPr="00721A4F" w:rsidRDefault="00721A4F" w:rsidP="00721A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07AA1D45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24319784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(a) trading opportunities, merchant power opportunities, exchange participation opportunities, bilateral transaction opportunities, and energy sale opportunities;</w:t>
      </w:r>
    </w:p>
    <w:p w14:paraId="1D8E665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(b) electricity pricing information, market pricing information, bid strategies, offer strategies, trading strategies, and commercial assessments;</w:t>
      </w:r>
    </w:p>
    <w:p w14:paraId="7AF7F036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(c) market forecasts, demand forecasts, supply forecasts, congestion analyses, price forecasts, and market intelligence information;</w:t>
      </w:r>
    </w:p>
    <w:p w14:paraId="14C7501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(d) generation forecasts, availability forecasts, scheduling assumptions, dispatch plans, production forecasts, and operational projections;</w:t>
      </w:r>
    </w:p>
    <w:p w14:paraId="3D5746CF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(e) trading positions, transaction structures, commercial arrangements, portfolio strategies, hedging strategies, and risk management strategies;</w:t>
      </w:r>
    </w:p>
    <w:p w14:paraId="58445A99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(f) exchange participation information, market participation information, trading volumes, transaction histories, settlement arrangements, and market analytics;</w:t>
      </w:r>
    </w:p>
    <w:p w14:paraId="515492E5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(g) scheduling information, dispatch information, forecasting information, deviation analyses, imbalance assessments, and operational compliance information;</w:t>
      </w:r>
    </w:p>
    <w:p w14:paraId="349449F0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(h) financial models, revenue forecasts, profitability assessments, market analyses, pricing models, and investment evaluations;</w:t>
      </w:r>
    </w:p>
    <w:p w14:paraId="37E5417F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721A4F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721A4F">
        <w:rPr>
          <w:rFonts w:ascii="Times New Roman" w:hAnsi="Times New Roman" w:cs="Times New Roman"/>
          <w:color w:val="156082" w:themeColor="accent1"/>
        </w:rPr>
        <w:t>) regulatory approvals, licensing information, market participation requirements, compliance obligations, regulatory filings, and governmental correspondence;</w:t>
      </w:r>
    </w:p>
    <w:p w14:paraId="710E7FA6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(j) trader evaluations, counterparty assessments, credit assessments, risk assessments, and commercial due diligence information;</w:t>
      </w:r>
    </w:p>
    <w:p w14:paraId="5443ED54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(k) transaction negotiations, contract discussions, amendment discussions, assignment arrangements, extension discussions, and commercial correspondence;</w:t>
      </w:r>
    </w:p>
    <w:p w14:paraId="4CF48A4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(l) strategic trading plans, market expansion opportunities, portfolio optimization initiatives, and strategic partnership opportunities; and</w:t>
      </w:r>
    </w:p>
    <w:p w14:paraId="386E8B03" w14:textId="13FF0DF4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lastRenderedPageBreak/>
        <w:t>(m) any other commercial, financial, technical, operational, regulatory, market-related, trading-related, energy-related, renewable-energy-related, strategic, or proprietary information disclosed in connection with an Energy Trading Transaction.</w:t>
      </w:r>
    </w:p>
    <w:p w14:paraId="03D7C4D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21A4F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07A6276C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Electricity Traders</w:t>
      </w:r>
    </w:p>
    <w:p w14:paraId="0C431522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Power Traders</w:t>
      </w:r>
    </w:p>
    <w:p w14:paraId="048E63FD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Renewable Energy Developers</w:t>
      </w:r>
    </w:p>
    <w:p w14:paraId="659EA1F2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Power Generators</w:t>
      </w:r>
    </w:p>
    <w:p w14:paraId="11B7B43B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Corporate Consumers</w:t>
      </w:r>
    </w:p>
    <w:p w14:paraId="4F8A03D0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Industrial Consumers</w:t>
      </w:r>
    </w:p>
    <w:p w14:paraId="7CC12E3B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Commercial Consumers</w:t>
      </w:r>
    </w:p>
    <w:p w14:paraId="1A178E50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Energy Exchanges</w:t>
      </w:r>
    </w:p>
    <w:p w14:paraId="14BB56BA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Market Operators</w:t>
      </w:r>
    </w:p>
    <w:p w14:paraId="71FAD1DE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DISCOMs</w:t>
      </w:r>
    </w:p>
    <w:p w14:paraId="3E52299C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SLDCs</w:t>
      </w:r>
    </w:p>
    <w:p w14:paraId="7113182A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RLDCs</w:t>
      </w:r>
    </w:p>
    <w:p w14:paraId="049302F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NLDC</w:t>
      </w:r>
    </w:p>
    <w:p w14:paraId="16E47872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STUs</w:t>
      </w:r>
    </w:p>
    <w:p w14:paraId="55ED7D49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CTUs</w:t>
      </w:r>
    </w:p>
    <w:p w14:paraId="12EC4B7D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Transmission Utilities</w:t>
      </w:r>
    </w:p>
    <w:p w14:paraId="0E18B874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Energy Consultants</w:t>
      </w:r>
    </w:p>
    <w:p w14:paraId="6568FCE6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Regulatory Consultants</w:t>
      </w:r>
    </w:p>
    <w:p w14:paraId="07BAFDB1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Investors</w:t>
      </w:r>
    </w:p>
    <w:p w14:paraId="2BA325A0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Lenders</w:t>
      </w:r>
    </w:p>
    <w:p w14:paraId="2CE7390D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Banks</w:t>
      </w:r>
    </w:p>
    <w:p w14:paraId="3D847DF7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  <w:r w:rsidRPr="00721A4F">
        <w:rPr>
          <w:rFonts w:ascii="Times New Roman" w:hAnsi="Times New Roman" w:cs="Times New Roman"/>
          <w:color w:val="156082" w:themeColor="accent1"/>
        </w:rPr>
        <w:t>Strategic Partners</w:t>
      </w:r>
    </w:p>
    <w:p w14:paraId="00BAA776" w14:textId="77777777" w:rsidR="00721A4F" w:rsidRPr="00721A4F" w:rsidRDefault="00721A4F" w:rsidP="00721A4F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721A4F" w:rsidRPr="00721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6AF"/>
    <w:multiLevelType w:val="multilevel"/>
    <w:tmpl w:val="873C6A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B7345"/>
    <w:multiLevelType w:val="multilevel"/>
    <w:tmpl w:val="BA0E52C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3B639EB"/>
    <w:multiLevelType w:val="multilevel"/>
    <w:tmpl w:val="42DC85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4524B85"/>
    <w:multiLevelType w:val="multilevel"/>
    <w:tmpl w:val="FF621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639784E"/>
    <w:multiLevelType w:val="multilevel"/>
    <w:tmpl w:val="43C2DB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82D513C"/>
    <w:multiLevelType w:val="multilevel"/>
    <w:tmpl w:val="6EB8097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8637770">
    <w:abstractNumId w:val="3"/>
  </w:num>
  <w:num w:numId="2" w16cid:durableId="1954709389">
    <w:abstractNumId w:val="2"/>
  </w:num>
  <w:num w:numId="3" w16cid:durableId="652370713">
    <w:abstractNumId w:val="1"/>
  </w:num>
  <w:num w:numId="4" w16cid:durableId="436415409">
    <w:abstractNumId w:val="0"/>
  </w:num>
  <w:num w:numId="5" w16cid:durableId="1904677507">
    <w:abstractNumId w:val="4"/>
  </w:num>
  <w:num w:numId="6" w16cid:durableId="261259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4F"/>
    <w:rsid w:val="00721A4F"/>
    <w:rsid w:val="00E3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6649"/>
  <w15:chartTrackingRefBased/>
  <w15:docId w15:val="{E56A2F53-97C4-4820-9095-BA1CC0AB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2026-06-10T13:04:00Z</dcterms:created>
  <dcterms:modified xsi:type="dcterms:W3CDTF">2026-06-10T13:06:00Z</dcterms:modified>
</cp:coreProperties>
</file>