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878EF" w14:textId="77777777" w:rsidR="00987E1D" w:rsidRPr="00987E1D" w:rsidRDefault="00987E1D" w:rsidP="00987E1D">
      <w:pPr>
        <w:jc w:val="center"/>
        <w:rPr>
          <w:rFonts w:ascii="Times New Roman" w:hAnsi="Times New Roman" w:cs="Times New Roman"/>
          <w:b/>
          <w:bCs/>
          <w:color w:val="156082" w:themeColor="accent1"/>
          <w:u w:val="single"/>
        </w:rPr>
      </w:pPr>
      <w:r w:rsidRPr="00987E1D">
        <w:rPr>
          <w:rFonts w:ascii="Times New Roman" w:hAnsi="Times New Roman" w:cs="Times New Roman"/>
          <w:b/>
          <w:bCs/>
          <w:color w:val="156082" w:themeColor="accent1"/>
          <w:u w:val="single"/>
        </w:rPr>
        <w:t>RE-21 – PROJECT FINANCING DISCUSSIONS</w:t>
      </w:r>
    </w:p>
    <w:p w14:paraId="10342BE3" w14:textId="77777777" w:rsidR="00987E1D" w:rsidRPr="00987E1D" w:rsidRDefault="00987E1D" w:rsidP="00987E1D">
      <w:pPr>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A. PURPOSE DEFINITION</w:t>
      </w:r>
    </w:p>
    <w:p w14:paraId="3F4CA797" w14:textId="43F084DA"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"Purpose" means the evaluation, discussion, negotiation, structuring, arrangement, provision, participation, syndication, refinancing, restructuring, financing, or potential establishment of project financing arrangements, debt financing facilities, infrastructure financing transactions, renewable energy financing transactions, or related commercial relationships concerning renewable energy projects and associated infrastructure.</w:t>
      </w:r>
    </w:p>
    <w:p w14:paraId="7AC61B47" w14:textId="77777777" w:rsidR="00987E1D" w:rsidRPr="00987E1D" w:rsidRDefault="00987E1D" w:rsidP="00987E1D">
      <w:pPr>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B. RECITAL VARIANT</w:t>
      </w:r>
    </w:p>
    <w:p w14:paraId="1D116151" w14:textId="77777777" w:rsidR="00987E1D" w:rsidRPr="00987E1D" w:rsidRDefault="00987E1D" w:rsidP="00987E1D">
      <w:pPr>
        <w:jc w:val="both"/>
        <w:rPr>
          <w:rFonts w:ascii="Times New Roman" w:hAnsi="Times New Roman" w:cs="Times New Roman"/>
          <w:color w:val="156082" w:themeColor="accent1"/>
        </w:rPr>
      </w:pPr>
      <w:proofErr w:type="gramStart"/>
      <w:r w:rsidRPr="00987E1D">
        <w:rPr>
          <w:rFonts w:ascii="Times New Roman" w:hAnsi="Times New Roman" w:cs="Times New Roman"/>
          <w:color w:val="156082" w:themeColor="accent1"/>
        </w:rPr>
        <w:t>WHEREAS,</w:t>
      </w:r>
      <w:proofErr w:type="gramEnd"/>
      <w:r w:rsidRPr="00987E1D">
        <w:rPr>
          <w:rFonts w:ascii="Times New Roman" w:hAnsi="Times New Roman" w:cs="Times New Roman"/>
          <w:color w:val="156082" w:themeColor="accent1"/>
        </w:rPr>
        <w:t xml:space="preserve"> the Parties desire to evaluate and discuss a potential project financing arrangement, renewable energy financing transaction, debt financing facility, refinancing opportunity, infrastructure financing transaction, or related commercial relationship;</w:t>
      </w:r>
    </w:p>
    <w:p w14:paraId="3ECF10E8"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WHEREAS, in connection with such discussions, evaluations, due diligence activities, financing assessments, and negotiations, the Parties may disclose and exchange confidential commercial, financial, technical, operational, legal, regulatory, project-related, and proprietary information;</w:t>
      </w:r>
    </w:p>
    <w:p w14:paraId="29752C9F" w14:textId="24056466" w:rsidR="00987E1D" w:rsidRPr="00987E1D" w:rsidRDefault="00987E1D" w:rsidP="00987E1D">
      <w:pPr>
        <w:jc w:val="both"/>
        <w:rPr>
          <w:rFonts w:ascii="Times New Roman" w:hAnsi="Times New Roman" w:cs="Times New Roman"/>
          <w:color w:val="156082" w:themeColor="accent1"/>
        </w:rPr>
      </w:pPr>
      <w:proofErr w:type="gramStart"/>
      <w:r w:rsidRPr="00987E1D">
        <w:rPr>
          <w:rFonts w:ascii="Times New Roman" w:hAnsi="Times New Roman" w:cs="Times New Roman"/>
          <w:color w:val="156082" w:themeColor="accent1"/>
        </w:rPr>
        <w:t>WHEREAS,</w:t>
      </w:r>
      <w:proofErr w:type="gramEnd"/>
      <w:r w:rsidRPr="00987E1D">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F3D8F01" w14:textId="77777777" w:rsidR="00987E1D" w:rsidRPr="00987E1D" w:rsidRDefault="00987E1D" w:rsidP="00987E1D">
      <w:pPr>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C. ADDITIONAL DEFINITIONS</w:t>
      </w:r>
    </w:p>
    <w:p w14:paraId="47A3D887" w14:textId="77777777" w:rsidR="00987E1D" w:rsidRPr="00987E1D" w:rsidRDefault="00987E1D" w:rsidP="00987E1D">
      <w:pPr>
        <w:numPr>
          <w:ilvl w:val="0"/>
          <w:numId w:val="1"/>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Financing Transaction</w:t>
      </w:r>
    </w:p>
    <w:p w14:paraId="73B6919A"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"Financing Transaction" means any actual, proposed, contemplated, or potential debt financing arrangement, project finance transaction, infrastructure financing arrangement, refinancing transaction, syndicated facility, working capital facility, or related financing structure.</w:t>
      </w:r>
    </w:p>
    <w:p w14:paraId="3DFCA3A0" w14:textId="77777777" w:rsidR="00987E1D" w:rsidRPr="00987E1D" w:rsidRDefault="00987E1D" w:rsidP="00987E1D">
      <w:pPr>
        <w:numPr>
          <w:ilvl w:val="0"/>
          <w:numId w:val="2"/>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Financing Information</w:t>
      </w:r>
    </w:p>
    <w:p w14:paraId="201E138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"Financing Information" means information relating to financing structures, debt arrangements, repayment structures, security arrangements, lender requirements, financing conditions, and funding strategies.</w:t>
      </w:r>
    </w:p>
    <w:p w14:paraId="3CDF28A9" w14:textId="77777777" w:rsidR="00987E1D" w:rsidRPr="00987E1D" w:rsidRDefault="00987E1D" w:rsidP="00987E1D">
      <w:pPr>
        <w:numPr>
          <w:ilvl w:val="0"/>
          <w:numId w:val="3"/>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Financial Model</w:t>
      </w:r>
    </w:p>
    <w:p w14:paraId="5827AB58"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"Financial Model" means any financial projection, cash flow model, debt service model, valuation model, sensitivity analysis, revenue model, investment model, or related financial assessment prepared in connection with the Financing Transaction.</w:t>
      </w:r>
    </w:p>
    <w:p w14:paraId="04E5218B" w14:textId="77777777" w:rsidR="00987E1D" w:rsidRPr="00987E1D" w:rsidRDefault="00987E1D" w:rsidP="00987E1D">
      <w:pPr>
        <w:numPr>
          <w:ilvl w:val="0"/>
          <w:numId w:val="4"/>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Security Package</w:t>
      </w:r>
    </w:p>
    <w:p w14:paraId="65448B6A"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"Security Package" means mortgages, charges, pledges, assignments, guarantees, escrow arrangements, security interests, collateral arrangements, and related credit support structures.</w:t>
      </w:r>
    </w:p>
    <w:p w14:paraId="11A54B03" w14:textId="77777777" w:rsidR="00987E1D" w:rsidRPr="00987E1D" w:rsidRDefault="00987E1D" w:rsidP="00987E1D">
      <w:pPr>
        <w:numPr>
          <w:ilvl w:val="0"/>
          <w:numId w:val="5"/>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Financing Documents</w:t>
      </w:r>
    </w:p>
    <w:p w14:paraId="0D3B5BFA"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lastRenderedPageBreak/>
        <w:t>"Financing Documents" means term sheets, facility agreements, common terms agreements, security documents, direct agreements, guarantees, intercreditor agreements, and related financing documentation.</w:t>
      </w:r>
    </w:p>
    <w:p w14:paraId="39444DE7" w14:textId="77777777" w:rsidR="00987E1D" w:rsidRPr="00987E1D" w:rsidRDefault="00987E1D" w:rsidP="00987E1D">
      <w:pPr>
        <w:numPr>
          <w:ilvl w:val="0"/>
          <w:numId w:val="6"/>
        </w:numPr>
        <w:tabs>
          <w:tab w:val="clear" w:pos="360"/>
          <w:tab w:val="num" w:pos="720"/>
        </w:tabs>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Lender Information</w:t>
      </w:r>
    </w:p>
    <w:p w14:paraId="5C0A657A" w14:textId="54DD103D"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"Lender Information" means information relating to lenders, financial institutions, syndicate participants, financing partners, credit committees, financing assessments, and lending decisions.</w:t>
      </w:r>
    </w:p>
    <w:p w14:paraId="15E3E1D9" w14:textId="77777777" w:rsidR="00987E1D" w:rsidRPr="00987E1D" w:rsidRDefault="00987E1D" w:rsidP="00987E1D">
      <w:pPr>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D. CONFIDENTIAL INFORMATION EXPANSION</w:t>
      </w:r>
    </w:p>
    <w:p w14:paraId="625C0437"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Without limitation, Confidential Information includes:</w:t>
      </w:r>
    </w:p>
    <w:p w14:paraId="7F1AAFA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(a) project financial models, cash flow forecasts, debt service models, revenue forecasts, sensitivity analyses, and investment assessments;</w:t>
      </w:r>
    </w:p>
    <w:p w14:paraId="3DD0CB25"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(b) financing structures, debt structures, repayment schedules, financing plans, refinancing strategies, and capital structures;</w:t>
      </w:r>
    </w:p>
    <w:p w14:paraId="0E0E167F"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(c) lender assessments, credit analyses, underwriting reports, financing evaluations, due diligence reports, and financing recommendations;</w:t>
      </w:r>
    </w:p>
    <w:p w14:paraId="4D81C7A0"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(d) facility agreements, term sheets, financing proposals, security documents, guarantees, and financing-related contractual arrangements;</w:t>
      </w:r>
    </w:p>
    <w:p w14:paraId="06D41587"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(e) project economics, tariff analyses, energy sale forecasts, operating cost projections, capital expenditure analyses, and profitability assessments;</w:t>
      </w:r>
    </w:p>
    <w:p w14:paraId="114A8BB3"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 security packages, collateral information, escrow arrangements, assignment structures, guarantee arrangements, and credit support mechanisms;</w:t>
      </w:r>
    </w:p>
    <w:p w14:paraId="73DE1995"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(g) project permits, approvals, licenses, regulatory clearances, environmental approvals, and compliance documentation relevant to financing;</w:t>
      </w:r>
    </w:p>
    <w:p w14:paraId="2A8854E1"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(h) investor information, sponsor information, shareholder information, ownership structures, governance arrangements, and project company information;</w:t>
      </w:r>
    </w:p>
    <w:p w14:paraId="4B2CF70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w:t>
      </w:r>
      <w:proofErr w:type="spellStart"/>
      <w:r w:rsidRPr="00987E1D">
        <w:rPr>
          <w:rFonts w:ascii="Times New Roman" w:hAnsi="Times New Roman" w:cs="Times New Roman"/>
          <w:color w:val="156082" w:themeColor="accent1"/>
        </w:rPr>
        <w:t>i</w:t>
      </w:r>
      <w:proofErr w:type="spellEnd"/>
      <w:r w:rsidRPr="00987E1D">
        <w:rPr>
          <w:rFonts w:ascii="Times New Roman" w:hAnsi="Times New Roman" w:cs="Times New Roman"/>
          <w:color w:val="156082" w:themeColor="accent1"/>
        </w:rPr>
        <w:t>) lender communications, financing negotiations, waiver requests, consent requests, amendment discussions, and transaction correspondence;</w:t>
      </w:r>
    </w:p>
    <w:p w14:paraId="170CD535"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(j) insurance arrangements, risk assessments, contingency plans, business continuity plans, and project risk evaluations;</w:t>
      </w:r>
    </w:p>
    <w:p w14:paraId="625BFEAF"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(k) acquisition financing opportunities, refinancing opportunities, portfolio financing opportunities, and strategic financing initiatives;</w:t>
      </w:r>
    </w:p>
    <w:p w14:paraId="7E4674C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(l) technical due diligence reports, legal due diligence reports, environmental due diligence reports, market studies, and independent engineer reports; and</w:t>
      </w:r>
    </w:p>
    <w:p w14:paraId="6D8EFD44" w14:textId="7E478ED6"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lastRenderedPageBreak/>
        <w:t>(m) any other commercial, financial, technical, operational, legal, regulatory, lender-related, financing-related, project-related, renewable-energy-related, strategic, or proprietary information disclosed in connection with the Financing Transaction.</w:t>
      </w:r>
    </w:p>
    <w:p w14:paraId="219704A1" w14:textId="77777777" w:rsidR="00987E1D" w:rsidRPr="00987E1D" w:rsidRDefault="00987E1D" w:rsidP="00987E1D">
      <w:pPr>
        <w:jc w:val="both"/>
        <w:rPr>
          <w:rFonts w:ascii="Times New Roman" w:hAnsi="Times New Roman" w:cs="Times New Roman"/>
          <w:b/>
          <w:bCs/>
          <w:color w:val="156082" w:themeColor="accent1"/>
        </w:rPr>
      </w:pPr>
      <w:r w:rsidRPr="00987E1D">
        <w:rPr>
          <w:rFonts w:ascii="Times New Roman" w:hAnsi="Times New Roman" w:cs="Times New Roman"/>
          <w:b/>
          <w:bCs/>
          <w:color w:val="156082" w:themeColor="accent1"/>
        </w:rPr>
        <w:t>E. OPTIONAL INTRODUCED CONTACTS DATASET</w:t>
      </w:r>
    </w:p>
    <w:p w14:paraId="39994FC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Banks</w:t>
      </w:r>
    </w:p>
    <w:p w14:paraId="499592F4"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Financial Institutions</w:t>
      </w:r>
    </w:p>
    <w:p w14:paraId="0A336D71"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Lenders</w:t>
      </w:r>
    </w:p>
    <w:p w14:paraId="71FA308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Syndicate Lenders</w:t>
      </w:r>
    </w:p>
    <w:p w14:paraId="2623EEBA"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Infrastructure Funds</w:t>
      </w:r>
    </w:p>
    <w:p w14:paraId="4B8A2704"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Debt Funds</w:t>
      </w:r>
    </w:p>
    <w:p w14:paraId="0E07AF4E"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Project Sponsors</w:t>
      </w:r>
    </w:p>
    <w:p w14:paraId="57DCF78F"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Investors</w:t>
      </w:r>
    </w:p>
    <w:p w14:paraId="531219F1"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Shareholders</w:t>
      </w:r>
    </w:p>
    <w:p w14:paraId="787A0917"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Independent Engineers</w:t>
      </w:r>
    </w:p>
    <w:p w14:paraId="7CBBAFB0"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Technical Advisors</w:t>
      </w:r>
    </w:p>
    <w:p w14:paraId="474FE85A"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Financial Advisors</w:t>
      </w:r>
    </w:p>
    <w:p w14:paraId="5F91907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Legal Advisors</w:t>
      </w:r>
    </w:p>
    <w:p w14:paraId="6E5F57C1"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Insurance Providers</w:t>
      </w:r>
    </w:p>
    <w:p w14:paraId="5AB667FF"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Credit Rating Agencies</w:t>
      </w:r>
    </w:p>
    <w:p w14:paraId="22C0763C"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Security Trustees</w:t>
      </w:r>
    </w:p>
    <w:p w14:paraId="4C84920B"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Facility Agents</w:t>
      </w:r>
    </w:p>
    <w:p w14:paraId="14E39D5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Government Authorities</w:t>
      </w:r>
    </w:p>
    <w:p w14:paraId="7B1706C9"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Regulatory Authorities</w:t>
      </w:r>
    </w:p>
    <w:p w14:paraId="3D6C4F78"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Multilateral Institutions</w:t>
      </w:r>
    </w:p>
    <w:p w14:paraId="7F319192" w14:textId="77777777" w:rsidR="00987E1D" w:rsidRPr="00987E1D" w:rsidRDefault="00987E1D" w:rsidP="00987E1D">
      <w:pPr>
        <w:jc w:val="both"/>
        <w:rPr>
          <w:rFonts w:ascii="Times New Roman" w:hAnsi="Times New Roman" w:cs="Times New Roman"/>
          <w:color w:val="156082" w:themeColor="accent1"/>
        </w:rPr>
      </w:pPr>
      <w:r w:rsidRPr="00987E1D">
        <w:rPr>
          <w:rFonts w:ascii="Times New Roman" w:hAnsi="Times New Roman" w:cs="Times New Roman"/>
          <w:color w:val="156082" w:themeColor="accent1"/>
        </w:rPr>
        <w:t>Strategic Partners</w:t>
      </w:r>
    </w:p>
    <w:p w14:paraId="4EAC7AA0" w14:textId="77777777" w:rsidR="00987E1D" w:rsidRPr="00987E1D" w:rsidRDefault="00987E1D" w:rsidP="00987E1D">
      <w:pPr>
        <w:jc w:val="both"/>
        <w:rPr>
          <w:rFonts w:ascii="Times New Roman" w:hAnsi="Times New Roman" w:cs="Times New Roman"/>
          <w:color w:val="156082" w:themeColor="accent1"/>
        </w:rPr>
      </w:pPr>
    </w:p>
    <w:sectPr w:rsidR="00987E1D" w:rsidRPr="00987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5E53"/>
    <w:multiLevelType w:val="multilevel"/>
    <w:tmpl w:val="AA3EBC9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FFC2F7F"/>
    <w:multiLevelType w:val="multilevel"/>
    <w:tmpl w:val="BCC0C1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81728BC"/>
    <w:multiLevelType w:val="multilevel"/>
    <w:tmpl w:val="E7FC661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7A4212B7"/>
    <w:multiLevelType w:val="multilevel"/>
    <w:tmpl w:val="564E843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B6A6897"/>
    <w:multiLevelType w:val="multilevel"/>
    <w:tmpl w:val="92E4CBD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F3B54B1"/>
    <w:multiLevelType w:val="multilevel"/>
    <w:tmpl w:val="A44A124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76967415">
    <w:abstractNumId w:val="1"/>
  </w:num>
  <w:num w:numId="2" w16cid:durableId="972832505">
    <w:abstractNumId w:val="3"/>
  </w:num>
  <w:num w:numId="3" w16cid:durableId="779184224">
    <w:abstractNumId w:val="0"/>
  </w:num>
  <w:num w:numId="4" w16cid:durableId="2030251663">
    <w:abstractNumId w:val="5"/>
  </w:num>
  <w:num w:numId="5" w16cid:durableId="920407111">
    <w:abstractNumId w:val="2"/>
  </w:num>
  <w:num w:numId="6" w16cid:durableId="227497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1D"/>
    <w:rsid w:val="00987E1D"/>
    <w:rsid w:val="00E33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C8E9"/>
  <w15:chartTrackingRefBased/>
  <w15:docId w15:val="{603058E7-A122-41A9-89E7-17714693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1D"/>
    <w:rPr>
      <w:rFonts w:eastAsiaTheme="majorEastAsia" w:cstheme="majorBidi"/>
      <w:color w:val="272727" w:themeColor="text1" w:themeTint="D8"/>
    </w:rPr>
  </w:style>
  <w:style w:type="paragraph" w:styleId="Title">
    <w:name w:val="Title"/>
    <w:basedOn w:val="Normal"/>
    <w:next w:val="Normal"/>
    <w:link w:val="TitleChar"/>
    <w:uiPriority w:val="10"/>
    <w:qFormat/>
    <w:rsid w:val="0098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1D"/>
    <w:pPr>
      <w:spacing w:before="160"/>
      <w:jc w:val="center"/>
    </w:pPr>
    <w:rPr>
      <w:i/>
      <w:iCs/>
      <w:color w:val="404040" w:themeColor="text1" w:themeTint="BF"/>
    </w:rPr>
  </w:style>
  <w:style w:type="character" w:customStyle="1" w:styleId="QuoteChar">
    <w:name w:val="Quote Char"/>
    <w:basedOn w:val="DefaultParagraphFont"/>
    <w:link w:val="Quote"/>
    <w:uiPriority w:val="29"/>
    <w:rsid w:val="00987E1D"/>
    <w:rPr>
      <w:i/>
      <w:iCs/>
      <w:color w:val="404040" w:themeColor="text1" w:themeTint="BF"/>
    </w:rPr>
  </w:style>
  <w:style w:type="paragraph" w:styleId="ListParagraph">
    <w:name w:val="List Paragraph"/>
    <w:basedOn w:val="Normal"/>
    <w:uiPriority w:val="34"/>
    <w:qFormat/>
    <w:rsid w:val="00987E1D"/>
    <w:pPr>
      <w:ind w:left="720"/>
      <w:contextualSpacing/>
    </w:pPr>
  </w:style>
  <w:style w:type="character" w:styleId="IntenseEmphasis">
    <w:name w:val="Intense Emphasis"/>
    <w:basedOn w:val="DefaultParagraphFont"/>
    <w:uiPriority w:val="21"/>
    <w:qFormat/>
    <w:rsid w:val="00987E1D"/>
    <w:rPr>
      <w:i/>
      <w:iCs/>
      <w:color w:val="0F4761" w:themeColor="accent1" w:themeShade="BF"/>
    </w:rPr>
  </w:style>
  <w:style w:type="paragraph" w:styleId="IntenseQuote">
    <w:name w:val="Intense Quote"/>
    <w:basedOn w:val="Normal"/>
    <w:next w:val="Normal"/>
    <w:link w:val="IntenseQuoteChar"/>
    <w:uiPriority w:val="30"/>
    <w:qFormat/>
    <w:rsid w:val="0098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E1D"/>
    <w:rPr>
      <w:i/>
      <w:iCs/>
      <w:color w:val="0F4761" w:themeColor="accent1" w:themeShade="BF"/>
    </w:rPr>
  </w:style>
  <w:style w:type="character" w:styleId="IntenseReference">
    <w:name w:val="Intense Reference"/>
    <w:basedOn w:val="DefaultParagraphFont"/>
    <w:uiPriority w:val="32"/>
    <w:qFormat/>
    <w:rsid w:val="00987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2026-06-10T13:06:00Z</dcterms:created>
  <dcterms:modified xsi:type="dcterms:W3CDTF">2026-06-10T13:08:00Z</dcterms:modified>
</cp:coreProperties>
</file>