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2419" w14:textId="77777777" w:rsidR="0073260D" w:rsidRPr="0073260D" w:rsidRDefault="0073260D" w:rsidP="0073260D">
      <w:pPr>
        <w:jc w:val="center"/>
        <w:rPr>
          <w:rFonts w:ascii="Times New Roman" w:hAnsi="Times New Roman" w:cs="Times New Roman"/>
          <w:b/>
          <w:bCs/>
          <w:color w:val="156082" w:themeColor="accent1"/>
          <w:u w:val="single"/>
        </w:rPr>
      </w:pPr>
      <w:r w:rsidRPr="0073260D">
        <w:rPr>
          <w:rFonts w:ascii="Times New Roman" w:hAnsi="Times New Roman" w:cs="Times New Roman"/>
          <w:b/>
          <w:bCs/>
          <w:color w:val="156082" w:themeColor="accent1"/>
          <w:u w:val="single"/>
        </w:rPr>
        <w:t>RE-23 – RENEWABLE ASSET ACQUISITION DISCUSSIONS</w:t>
      </w:r>
    </w:p>
    <w:p w14:paraId="03ADC3B4" w14:textId="77777777" w:rsidR="0073260D" w:rsidRPr="0073260D" w:rsidRDefault="0073260D" w:rsidP="0073260D">
      <w:pPr>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A. PURPOSE DEFINITION</w:t>
      </w:r>
    </w:p>
    <w:p w14:paraId="058D4CF0" w14:textId="6F97D6E3"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"Purpose" means the evaluation, discussion, negotiation, structuring, acquisition, purchase, investment, transfer, financing, ownership, management, integration, or potential acquisition of renewable energy assets, renewable energy portfolios, project companies, project rights, energy infrastructure assets, or associated businesses.</w:t>
      </w:r>
    </w:p>
    <w:p w14:paraId="18CD39DA" w14:textId="77777777" w:rsidR="0073260D" w:rsidRPr="0073260D" w:rsidRDefault="0073260D" w:rsidP="0073260D">
      <w:pPr>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B. RECITAL VARIANT</w:t>
      </w:r>
    </w:p>
    <w:p w14:paraId="14312F8C" w14:textId="77777777" w:rsidR="0073260D" w:rsidRPr="0073260D" w:rsidRDefault="0073260D" w:rsidP="0073260D">
      <w:pPr>
        <w:jc w:val="both"/>
        <w:rPr>
          <w:rFonts w:ascii="Times New Roman" w:hAnsi="Times New Roman" w:cs="Times New Roman"/>
          <w:color w:val="156082" w:themeColor="accent1"/>
        </w:rPr>
      </w:pPr>
      <w:proofErr w:type="gramStart"/>
      <w:r w:rsidRPr="0073260D">
        <w:rPr>
          <w:rFonts w:ascii="Times New Roman" w:hAnsi="Times New Roman" w:cs="Times New Roman"/>
          <w:color w:val="156082" w:themeColor="accent1"/>
        </w:rPr>
        <w:t>WHEREAS,</w:t>
      </w:r>
      <w:proofErr w:type="gramEnd"/>
      <w:r w:rsidRPr="0073260D">
        <w:rPr>
          <w:rFonts w:ascii="Times New Roman" w:hAnsi="Times New Roman" w:cs="Times New Roman"/>
          <w:color w:val="156082" w:themeColor="accent1"/>
        </w:rPr>
        <w:t xml:space="preserve"> the Parties desire to evaluate and discuss a potential acquisition of renewable energy assets, renewable energy portfolios, project companies, infrastructure assets, or related investment opportunities;</w:t>
      </w:r>
    </w:p>
    <w:p w14:paraId="3DF9CF0C"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WHEREAS, in connection with such discussions, evaluations, due diligence activities, transaction assessments, and negotiations, the Parties may disclose and exchange confidential commercial, financial, technical, operational, legal, regulatory, project-related, and proprietary information;</w:t>
      </w:r>
    </w:p>
    <w:p w14:paraId="24298964" w14:textId="53B2325A" w:rsidR="0073260D" w:rsidRPr="0073260D" w:rsidRDefault="0073260D" w:rsidP="0073260D">
      <w:pPr>
        <w:jc w:val="both"/>
        <w:rPr>
          <w:rFonts w:ascii="Times New Roman" w:hAnsi="Times New Roman" w:cs="Times New Roman"/>
          <w:color w:val="156082" w:themeColor="accent1"/>
        </w:rPr>
      </w:pPr>
      <w:proofErr w:type="gramStart"/>
      <w:r w:rsidRPr="0073260D">
        <w:rPr>
          <w:rFonts w:ascii="Times New Roman" w:hAnsi="Times New Roman" w:cs="Times New Roman"/>
          <w:color w:val="156082" w:themeColor="accent1"/>
        </w:rPr>
        <w:t>WHEREAS,</w:t>
      </w:r>
      <w:proofErr w:type="gramEnd"/>
      <w:r w:rsidRPr="0073260D">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8888762" w14:textId="77777777" w:rsidR="0073260D" w:rsidRPr="0073260D" w:rsidRDefault="0073260D" w:rsidP="0073260D">
      <w:pPr>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C. ADDITIONAL DEFINITIONS</w:t>
      </w:r>
    </w:p>
    <w:p w14:paraId="58BEB46F" w14:textId="77777777" w:rsidR="0073260D" w:rsidRPr="0073260D" w:rsidRDefault="0073260D" w:rsidP="0073260D">
      <w:pPr>
        <w:numPr>
          <w:ilvl w:val="0"/>
          <w:numId w:val="1"/>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Acquisition Transaction</w:t>
      </w:r>
    </w:p>
    <w:p w14:paraId="271CED81"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"Acquisition Transaction" means any actual, proposed, contemplated, or potential acquisition, purchase, transfer, investment, merger, business combination, portfolio acquisition, or asset acquisition involving renewable energy assets.</w:t>
      </w:r>
    </w:p>
    <w:p w14:paraId="1BD025EA" w14:textId="77777777" w:rsidR="0073260D" w:rsidRPr="0073260D" w:rsidRDefault="0073260D" w:rsidP="0073260D">
      <w:pPr>
        <w:numPr>
          <w:ilvl w:val="0"/>
          <w:numId w:val="2"/>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Renewable Asset</w:t>
      </w:r>
    </w:p>
    <w:p w14:paraId="1B4B3064"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"Renewable Asset" means any solar project, wind project, hybrid project, BESS project, green hydrogen project, transmission asset, substation, renewable infrastructure asset, project company, project SPV, development right, or associated business.</w:t>
      </w:r>
    </w:p>
    <w:p w14:paraId="2E8C3084" w14:textId="77777777" w:rsidR="0073260D" w:rsidRPr="0073260D" w:rsidRDefault="0073260D" w:rsidP="0073260D">
      <w:pPr>
        <w:numPr>
          <w:ilvl w:val="0"/>
          <w:numId w:val="3"/>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Target Asset</w:t>
      </w:r>
    </w:p>
    <w:p w14:paraId="532DF6AB"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"Target Asset" means the renewable energy asset, project, portfolio, project company, business, or infrastructure asset being evaluated for acquisition.</w:t>
      </w:r>
    </w:p>
    <w:p w14:paraId="255CD93C" w14:textId="77777777" w:rsidR="0073260D" w:rsidRPr="0073260D" w:rsidRDefault="0073260D" w:rsidP="0073260D">
      <w:pPr>
        <w:numPr>
          <w:ilvl w:val="0"/>
          <w:numId w:val="4"/>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Acquisition Information</w:t>
      </w:r>
    </w:p>
    <w:p w14:paraId="7606A7D6"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"Acquisition Information" means information relating to transaction structures, acquisition strategies, valuation methodologies, acquisition terms, negotiation positions, and acquisition opportunities.</w:t>
      </w:r>
    </w:p>
    <w:p w14:paraId="7861C329" w14:textId="77777777" w:rsidR="0073260D" w:rsidRPr="0073260D" w:rsidRDefault="0073260D" w:rsidP="0073260D">
      <w:pPr>
        <w:numPr>
          <w:ilvl w:val="0"/>
          <w:numId w:val="5"/>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Portfolio Information</w:t>
      </w:r>
    </w:p>
    <w:p w14:paraId="5988F700"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lastRenderedPageBreak/>
        <w:t>"Portfolio Information" means information relating to asset portfolios, project portfolios, portfolio performance, portfolio valuations, portfolio risks, portfolio acquisitions, and portfolio management activities.</w:t>
      </w:r>
    </w:p>
    <w:p w14:paraId="7678A59F" w14:textId="77777777" w:rsidR="0073260D" w:rsidRPr="0073260D" w:rsidRDefault="0073260D" w:rsidP="0073260D">
      <w:pPr>
        <w:numPr>
          <w:ilvl w:val="0"/>
          <w:numId w:val="6"/>
        </w:numPr>
        <w:tabs>
          <w:tab w:val="clear" w:pos="360"/>
          <w:tab w:val="num" w:pos="720"/>
        </w:tabs>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Transaction Documentation</w:t>
      </w:r>
    </w:p>
    <w:p w14:paraId="1D69CC58" w14:textId="10EFB7A9"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"Transaction Documentation" means teasers, information memoranda, term sheets, transaction summaries, acquisition agreements, disclosure schedules, due diligence reports, and related transaction documentation.</w:t>
      </w:r>
    </w:p>
    <w:p w14:paraId="7ED108F5" w14:textId="77777777" w:rsidR="0073260D" w:rsidRPr="0073260D" w:rsidRDefault="0073260D" w:rsidP="0073260D">
      <w:pPr>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D. CONFIDENTIAL INFORMATION EXPANSION</w:t>
      </w:r>
    </w:p>
    <w:p w14:paraId="345199AA"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Without limitation, Confidential Information includes:</w:t>
      </w:r>
    </w:p>
    <w:p w14:paraId="3980CF92"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(a) acquisition opportunities, portfolio acquisition opportunities, platform acquisition opportunities, strategic acquisition opportunities, and investment opportunities;</w:t>
      </w:r>
    </w:p>
    <w:p w14:paraId="1DA7F273"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(b) project financial models, portfolio financial models, cash flow forecasts, revenue forecasts, valuation models, acquisition analyses, and sensitivity analyses;</w:t>
      </w:r>
    </w:p>
    <w:p w14:paraId="4F0CFA85"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(c) asset valuations, portfolio valuations, transaction pricing analyses, valuation methodologies, purchase price assumptions, and investment assessments;</w:t>
      </w:r>
    </w:p>
    <w:p w14:paraId="3FF3AADD"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(d) project performance reports, generation reports, revenue reports, availability reports, operational reports, and performance assessments;</w:t>
      </w:r>
    </w:p>
    <w:p w14:paraId="01EEC55E"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(e) ownership structures, shareholding structures, governance arrangements, organizational structures, project company information, and management information;</w:t>
      </w:r>
    </w:p>
    <w:p w14:paraId="40165BE6"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(f) PPAs, Corporate PPAs, Open Access arrangements, Captive arrangements, Group Captive arrangements, energy sale agreements, and commercial contracts;</w:t>
      </w:r>
    </w:p>
    <w:p w14:paraId="34D05B9A"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(g) EPC agreements, O&amp;M agreements, land agreements, ROW agreements, financing agreements, supply agreements, and project contracts;</w:t>
      </w:r>
    </w:p>
    <w:p w14:paraId="3856F3A5"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(h) legal due diligence reports, technical due diligence reports, financial due diligence reports, tax due diligence reports, ESG assessments, and environmental assessments;</w:t>
      </w:r>
    </w:p>
    <w:p w14:paraId="7ACDCC77"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w:t>
      </w:r>
      <w:proofErr w:type="spellStart"/>
      <w:r w:rsidRPr="0073260D">
        <w:rPr>
          <w:rFonts w:ascii="Times New Roman" w:hAnsi="Times New Roman" w:cs="Times New Roman"/>
          <w:color w:val="156082" w:themeColor="accent1"/>
        </w:rPr>
        <w:t>i</w:t>
      </w:r>
      <w:proofErr w:type="spellEnd"/>
      <w:r w:rsidRPr="0073260D">
        <w:rPr>
          <w:rFonts w:ascii="Times New Roman" w:hAnsi="Times New Roman" w:cs="Times New Roman"/>
          <w:color w:val="156082" w:themeColor="accent1"/>
        </w:rPr>
        <w:t>) project pipelines, expansion opportunities, repowering opportunities, development opportunities, and strategic growth initiatives;</w:t>
      </w:r>
    </w:p>
    <w:p w14:paraId="4429F508"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(j) refinancing opportunities, monetization strategies, capital structure information, debt obligations, lender arrangements, and financing assessments;</w:t>
      </w:r>
    </w:p>
    <w:p w14:paraId="18A9FADE"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(k) permits, licenses, approvals, regulatory clearances, compliance documentation, governmental correspondence, and regulatory assessments;</w:t>
      </w:r>
    </w:p>
    <w:p w14:paraId="4C09CAA6"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(l) transaction negotiations, acquisition proposals, transaction structures, amendment discussions, strategic reviews, and commercial correspondence; and</w:t>
      </w:r>
    </w:p>
    <w:p w14:paraId="358AC53C" w14:textId="6B5C8361"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lastRenderedPageBreak/>
        <w:t>(m) any other commercial, financial, technical, operational, legal, regulatory, acquisition-related, portfolio-related, ownership-related, renewable-energy-related, strategic, or proprietary information disclosed in connection with the Acquisition Transaction.</w:t>
      </w:r>
    </w:p>
    <w:p w14:paraId="27BD5FA5" w14:textId="77777777" w:rsidR="0073260D" w:rsidRPr="0073260D" w:rsidRDefault="0073260D" w:rsidP="0073260D">
      <w:pPr>
        <w:jc w:val="both"/>
        <w:rPr>
          <w:rFonts w:ascii="Times New Roman" w:hAnsi="Times New Roman" w:cs="Times New Roman"/>
          <w:b/>
          <w:bCs/>
          <w:color w:val="156082" w:themeColor="accent1"/>
        </w:rPr>
      </w:pPr>
      <w:r w:rsidRPr="0073260D">
        <w:rPr>
          <w:rFonts w:ascii="Times New Roman" w:hAnsi="Times New Roman" w:cs="Times New Roman"/>
          <w:b/>
          <w:bCs/>
          <w:color w:val="156082" w:themeColor="accent1"/>
        </w:rPr>
        <w:t>E. OPTIONAL INTRODUCED CONTACTS DATASET</w:t>
      </w:r>
    </w:p>
    <w:p w14:paraId="270B1668"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Project Owners</w:t>
      </w:r>
    </w:p>
    <w:p w14:paraId="6F6768F9"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Asset Owners</w:t>
      </w:r>
    </w:p>
    <w:p w14:paraId="6D330673"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Infrastructure Funds</w:t>
      </w:r>
    </w:p>
    <w:p w14:paraId="598B5C7E"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Private Equity Funds</w:t>
      </w:r>
    </w:p>
    <w:p w14:paraId="52682B35"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Strategic Investors</w:t>
      </w:r>
    </w:p>
    <w:p w14:paraId="014E7D81"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Institutional Investors</w:t>
      </w:r>
    </w:p>
    <w:p w14:paraId="3B316AE5"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Project Developers</w:t>
      </w:r>
    </w:p>
    <w:p w14:paraId="71DEB366"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IPP Operators</w:t>
      </w:r>
    </w:p>
    <w:p w14:paraId="07953E0E"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Utilities</w:t>
      </w:r>
    </w:p>
    <w:p w14:paraId="037A4514"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Asset Managers</w:t>
      </w:r>
    </w:p>
    <w:p w14:paraId="04B8C744"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Investment Bankers</w:t>
      </w:r>
    </w:p>
    <w:p w14:paraId="3FC13B9E"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Financial Advisors</w:t>
      </w:r>
    </w:p>
    <w:p w14:paraId="7318F3E9"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Legal Advisors</w:t>
      </w:r>
    </w:p>
    <w:p w14:paraId="1F5237D8"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Technical Advisors</w:t>
      </w:r>
    </w:p>
    <w:p w14:paraId="3035193C"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Independent Engineers</w:t>
      </w:r>
    </w:p>
    <w:p w14:paraId="0015DC61"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Lenders</w:t>
      </w:r>
    </w:p>
    <w:p w14:paraId="61B436F3"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Banks</w:t>
      </w:r>
    </w:p>
    <w:p w14:paraId="59ACED95"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Government Authorities</w:t>
      </w:r>
    </w:p>
    <w:p w14:paraId="5A23446B"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Regulatory Authorities</w:t>
      </w:r>
    </w:p>
    <w:p w14:paraId="1604AE2A"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Portfolio Sellers</w:t>
      </w:r>
    </w:p>
    <w:p w14:paraId="4C9A4D4F" w14:textId="77777777" w:rsidR="0073260D" w:rsidRPr="0073260D" w:rsidRDefault="0073260D" w:rsidP="0073260D">
      <w:pPr>
        <w:jc w:val="both"/>
        <w:rPr>
          <w:rFonts w:ascii="Times New Roman" w:hAnsi="Times New Roman" w:cs="Times New Roman"/>
          <w:color w:val="156082" w:themeColor="accent1"/>
        </w:rPr>
      </w:pPr>
      <w:r w:rsidRPr="0073260D">
        <w:rPr>
          <w:rFonts w:ascii="Times New Roman" w:hAnsi="Times New Roman" w:cs="Times New Roman"/>
          <w:color w:val="156082" w:themeColor="accent1"/>
        </w:rPr>
        <w:t>Strategic Partners</w:t>
      </w:r>
    </w:p>
    <w:p w14:paraId="3906232A" w14:textId="77777777" w:rsidR="0073260D" w:rsidRPr="0073260D" w:rsidRDefault="0073260D" w:rsidP="0073260D">
      <w:pPr>
        <w:jc w:val="both"/>
        <w:rPr>
          <w:rFonts w:ascii="Times New Roman" w:hAnsi="Times New Roman" w:cs="Times New Roman"/>
          <w:color w:val="156082" w:themeColor="accent1"/>
        </w:rPr>
      </w:pPr>
    </w:p>
    <w:sectPr w:rsidR="0073260D" w:rsidRPr="00732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735D"/>
    <w:multiLevelType w:val="multilevel"/>
    <w:tmpl w:val="0EEA8880"/>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75F45FA"/>
    <w:multiLevelType w:val="multilevel"/>
    <w:tmpl w:val="85FC81F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5A154B3"/>
    <w:multiLevelType w:val="multilevel"/>
    <w:tmpl w:val="5EBCA6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1D36355"/>
    <w:multiLevelType w:val="multilevel"/>
    <w:tmpl w:val="1C86CA6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B4C3DF6"/>
    <w:multiLevelType w:val="multilevel"/>
    <w:tmpl w:val="76DEB96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6F64A33"/>
    <w:multiLevelType w:val="multilevel"/>
    <w:tmpl w:val="BA689DE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2799039">
    <w:abstractNumId w:val="2"/>
  </w:num>
  <w:num w:numId="2" w16cid:durableId="1942565283">
    <w:abstractNumId w:val="1"/>
  </w:num>
  <w:num w:numId="3" w16cid:durableId="79982811">
    <w:abstractNumId w:val="5"/>
  </w:num>
  <w:num w:numId="4" w16cid:durableId="1218004655">
    <w:abstractNumId w:val="3"/>
  </w:num>
  <w:num w:numId="5" w16cid:durableId="231087199">
    <w:abstractNumId w:val="4"/>
  </w:num>
  <w:num w:numId="6" w16cid:durableId="54999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0D"/>
    <w:rsid w:val="000A7ED5"/>
    <w:rsid w:val="0073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FBDE"/>
  <w15:chartTrackingRefBased/>
  <w15:docId w15:val="{2535BDAE-04A2-4320-8448-F58F53D2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0D"/>
    <w:rPr>
      <w:rFonts w:eastAsiaTheme="majorEastAsia" w:cstheme="majorBidi"/>
      <w:color w:val="272727" w:themeColor="text1" w:themeTint="D8"/>
    </w:rPr>
  </w:style>
  <w:style w:type="paragraph" w:styleId="Title">
    <w:name w:val="Title"/>
    <w:basedOn w:val="Normal"/>
    <w:next w:val="Normal"/>
    <w:link w:val="TitleChar"/>
    <w:uiPriority w:val="10"/>
    <w:qFormat/>
    <w:rsid w:val="00732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0D"/>
    <w:pPr>
      <w:spacing w:before="160"/>
      <w:jc w:val="center"/>
    </w:pPr>
    <w:rPr>
      <w:i/>
      <w:iCs/>
      <w:color w:val="404040" w:themeColor="text1" w:themeTint="BF"/>
    </w:rPr>
  </w:style>
  <w:style w:type="character" w:customStyle="1" w:styleId="QuoteChar">
    <w:name w:val="Quote Char"/>
    <w:basedOn w:val="DefaultParagraphFont"/>
    <w:link w:val="Quote"/>
    <w:uiPriority w:val="29"/>
    <w:rsid w:val="0073260D"/>
    <w:rPr>
      <w:i/>
      <w:iCs/>
      <w:color w:val="404040" w:themeColor="text1" w:themeTint="BF"/>
    </w:rPr>
  </w:style>
  <w:style w:type="paragraph" w:styleId="ListParagraph">
    <w:name w:val="List Paragraph"/>
    <w:basedOn w:val="Normal"/>
    <w:uiPriority w:val="34"/>
    <w:qFormat/>
    <w:rsid w:val="0073260D"/>
    <w:pPr>
      <w:ind w:left="720"/>
      <w:contextualSpacing/>
    </w:pPr>
  </w:style>
  <w:style w:type="character" w:styleId="IntenseEmphasis">
    <w:name w:val="Intense Emphasis"/>
    <w:basedOn w:val="DefaultParagraphFont"/>
    <w:uiPriority w:val="21"/>
    <w:qFormat/>
    <w:rsid w:val="0073260D"/>
    <w:rPr>
      <w:i/>
      <w:iCs/>
      <w:color w:val="0F4761" w:themeColor="accent1" w:themeShade="BF"/>
    </w:rPr>
  </w:style>
  <w:style w:type="paragraph" w:styleId="IntenseQuote">
    <w:name w:val="Intense Quote"/>
    <w:basedOn w:val="Normal"/>
    <w:next w:val="Normal"/>
    <w:link w:val="IntenseQuoteChar"/>
    <w:uiPriority w:val="30"/>
    <w:qFormat/>
    <w:rsid w:val="00732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0D"/>
    <w:rPr>
      <w:i/>
      <w:iCs/>
      <w:color w:val="0F4761" w:themeColor="accent1" w:themeShade="BF"/>
    </w:rPr>
  </w:style>
  <w:style w:type="character" w:styleId="IntenseReference">
    <w:name w:val="Intense Reference"/>
    <w:basedOn w:val="DefaultParagraphFont"/>
    <w:uiPriority w:val="32"/>
    <w:qFormat/>
    <w:rsid w:val="00732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2026-06-10T16:42:00Z</dcterms:created>
  <dcterms:modified xsi:type="dcterms:W3CDTF">2026-06-10T17:01:00Z</dcterms:modified>
</cp:coreProperties>
</file>