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27075" w14:textId="77777777" w:rsidR="00D74B30" w:rsidRPr="00D74B30" w:rsidRDefault="00D74B30" w:rsidP="00D74B30">
      <w:pPr>
        <w:jc w:val="center"/>
        <w:rPr>
          <w:rFonts w:ascii="Times New Roman" w:hAnsi="Times New Roman" w:cs="Times New Roman"/>
          <w:b/>
          <w:bCs/>
          <w:color w:val="156082" w:themeColor="accent1"/>
          <w:u w:val="single"/>
        </w:rPr>
      </w:pPr>
      <w:r w:rsidRPr="00D74B30">
        <w:rPr>
          <w:rFonts w:ascii="Times New Roman" w:hAnsi="Times New Roman" w:cs="Times New Roman"/>
          <w:b/>
          <w:bCs/>
          <w:color w:val="156082" w:themeColor="accent1"/>
          <w:u w:val="single"/>
        </w:rPr>
        <w:t>RE-24 – RENEWABLE ASSET SALE DISCUSSIONS</w:t>
      </w:r>
    </w:p>
    <w:p w14:paraId="41311B42" w14:textId="77777777" w:rsidR="00D74B30" w:rsidRPr="00D74B30" w:rsidRDefault="00D74B30" w:rsidP="00D74B30">
      <w:pPr>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A. PURPOSE DEFINITION</w:t>
      </w:r>
    </w:p>
    <w:p w14:paraId="6A4A24F4" w14:textId="312EFDEF"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"Purpose" means the evaluation, discussion, negotiation, structuring, marketing, monetization, transfer, divestment, disposition, sale, financing, ownership transfer, or potential sale of renewable energy assets, renewable energy portfolios, project companies, project rights, energy infrastructure assets, or associated businesses.</w:t>
      </w:r>
    </w:p>
    <w:p w14:paraId="39789F73" w14:textId="77777777" w:rsidR="00D74B30" w:rsidRPr="00D74B30" w:rsidRDefault="00D74B30" w:rsidP="00D74B30">
      <w:pPr>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B. RECITAL VARIANT</w:t>
      </w:r>
    </w:p>
    <w:p w14:paraId="6389CD73" w14:textId="77777777" w:rsidR="00D74B30" w:rsidRPr="00D74B30" w:rsidRDefault="00D74B30" w:rsidP="00D74B30">
      <w:pPr>
        <w:jc w:val="both"/>
        <w:rPr>
          <w:rFonts w:ascii="Times New Roman" w:hAnsi="Times New Roman" w:cs="Times New Roman"/>
          <w:color w:val="156082" w:themeColor="accent1"/>
        </w:rPr>
      </w:pPr>
      <w:proofErr w:type="gramStart"/>
      <w:r w:rsidRPr="00D74B30">
        <w:rPr>
          <w:rFonts w:ascii="Times New Roman" w:hAnsi="Times New Roman" w:cs="Times New Roman"/>
          <w:color w:val="156082" w:themeColor="accent1"/>
        </w:rPr>
        <w:t>WHEREAS,</w:t>
      </w:r>
      <w:proofErr w:type="gramEnd"/>
      <w:r w:rsidRPr="00D74B30">
        <w:rPr>
          <w:rFonts w:ascii="Times New Roman" w:hAnsi="Times New Roman" w:cs="Times New Roman"/>
          <w:color w:val="156082" w:themeColor="accent1"/>
        </w:rPr>
        <w:t xml:space="preserve"> the Parties desire to evaluate and discuss a potential sale, transfer, divestment, monetization, portfolio disposition, or other transaction involving renewable energy assets, renewable energy portfolios, project companies, or related infrastructure assets;</w:t>
      </w:r>
    </w:p>
    <w:p w14:paraId="389BAA57"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WHEREAS, in connection with such discussions, evaluations, due diligence activities, transaction assessments, and negotiations, the Parties may disclose and exchange confidential commercial, financial, technical, operational, legal, regulatory, project-related, and proprietary information;</w:t>
      </w:r>
    </w:p>
    <w:p w14:paraId="7FE93878" w14:textId="44A9EA5B" w:rsidR="00D74B30" w:rsidRPr="00D74B30" w:rsidRDefault="00D74B30" w:rsidP="00D74B30">
      <w:pPr>
        <w:jc w:val="both"/>
        <w:rPr>
          <w:rFonts w:ascii="Times New Roman" w:hAnsi="Times New Roman" w:cs="Times New Roman"/>
          <w:color w:val="156082" w:themeColor="accent1"/>
        </w:rPr>
      </w:pPr>
      <w:proofErr w:type="gramStart"/>
      <w:r w:rsidRPr="00D74B30">
        <w:rPr>
          <w:rFonts w:ascii="Times New Roman" w:hAnsi="Times New Roman" w:cs="Times New Roman"/>
          <w:color w:val="156082" w:themeColor="accent1"/>
        </w:rPr>
        <w:t>WHEREAS,</w:t>
      </w:r>
      <w:proofErr w:type="gramEnd"/>
      <w:r w:rsidRPr="00D74B30">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1285FB6" w14:textId="77777777" w:rsidR="00D74B30" w:rsidRPr="00D74B30" w:rsidRDefault="00D74B30" w:rsidP="00D74B30">
      <w:pPr>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C. ADDITIONAL DEFINITIONS</w:t>
      </w:r>
    </w:p>
    <w:p w14:paraId="74EC965E" w14:textId="77777777" w:rsidR="00D74B30" w:rsidRPr="00D74B30" w:rsidRDefault="00D74B30" w:rsidP="00D74B30">
      <w:pPr>
        <w:numPr>
          <w:ilvl w:val="0"/>
          <w:numId w:val="1"/>
        </w:numPr>
        <w:tabs>
          <w:tab w:val="clear" w:pos="360"/>
          <w:tab w:val="num" w:pos="720"/>
        </w:tabs>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Sale Transaction</w:t>
      </w:r>
    </w:p>
    <w:p w14:paraId="33517867"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"Sale Transaction" means any actual, proposed, contemplated, or potential sale, transfer, divestment, monetization, disposition, ownership transfer, portfolio sale, asset sale, share sale, or business sale involving renewable energy assets.</w:t>
      </w:r>
    </w:p>
    <w:p w14:paraId="5784E2C1" w14:textId="77777777" w:rsidR="00D74B30" w:rsidRPr="00D74B30" w:rsidRDefault="00D74B30" w:rsidP="00D74B30">
      <w:pPr>
        <w:numPr>
          <w:ilvl w:val="0"/>
          <w:numId w:val="2"/>
        </w:numPr>
        <w:tabs>
          <w:tab w:val="clear" w:pos="360"/>
          <w:tab w:val="num" w:pos="720"/>
        </w:tabs>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Renewable Asset</w:t>
      </w:r>
    </w:p>
    <w:p w14:paraId="1FFBF010"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"Renewable Asset" means any solar project, wind project, hybrid project, BESS project, green hydrogen project, transmission asset, substation, renewable infrastructure asset, project company, project SPV, development right, or associated business.</w:t>
      </w:r>
    </w:p>
    <w:p w14:paraId="1F356982" w14:textId="77777777" w:rsidR="00D74B30" w:rsidRPr="00D74B30" w:rsidRDefault="00D74B30" w:rsidP="00D74B30">
      <w:pPr>
        <w:numPr>
          <w:ilvl w:val="0"/>
          <w:numId w:val="3"/>
        </w:numPr>
        <w:tabs>
          <w:tab w:val="clear" w:pos="360"/>
          <w:tab w:val="num" w:pos="720"/>
        </w:tabs>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Sale Information</w:t>
      </w:r>
    </w:p>
    <w:p w14:paraId="5F1D75F1"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"Sale Information" means information relating to sale structures, divestment strategies, transaction structures, valuation methodologies, sale processes, buyer engagement activities, and monetization opportunities.</w:t>
      </w:r>
    </w:p>
    <w:p w14:paraId="084296F7" w14:textId="77777777" w:rsidR="00D74B30" w:rsidRPr="00D74B30" w:rsidRDefault="00D74B30" w:rsidP="00D74B30">
      <w:pPr>
        <w:numPr>
          <w:ilvl w:val="0"/>
          <w:numId w:val="4"/>
        </w:numPr>
        <w:tabs>
          <w:tab w:val="clear" w:pos="360"/>
          <w:tab w:val="num" w:pos="720"/>
        </w:tabs>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Portfolio Information</w:t>
      </w:r>
    </w:p>
    <w:p w14:paraId="7DA6313B"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"Portfolio Information" means information relating to asset portfolios, project portfolios, portfolio performance, portfolio valuations, portfolio risks, portfolio management activities, and portfolio sale opportunities.</w:t>
      </w:r>
    </w:p>
    <w:p w14:paraId="6BBBAAC7" w14:textId="77777777" w:rsidR="00D74B30" w:rsidRPr="00D74B30" w:rsidRDefault="00D74B30" w:rsidP="00D74B30">
      <w:pPr>
        <w:numPr>
          <w:ilvl w:val="0"/>
          <w:numId w:val="5"/>
        </w:numPr>
        <w:tabs>
          <w:tab w:val="clear" w:pos="360"/>
          <w:tab w:val="num" w:pos="720"/>
        </w:tabs>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Marketing Materials</w:t>
      </w:r>
    </w:p>
    <w:p w14:paraId="1993885C"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lastRenderedPageBreak/>
        <w:t>"Marketing Materials" means teasers, information memoranda, management presentations, transaction summaries, data room materials, executive summaries, and materials prepared in connection with a Sale Transaction.</w:t>
      </w:r>
    </w:p>
    <w:p w14:paraId="4BE2F2D5" w14:textId="77777777" w:rsidR="00D74B30" w:rsidRPr="00D74B30" w:rsidRDefault="00D74B30" w:rsidP="00D74B30">
      <w:pPr>
        <w:numPr>
          <w:ilvl w:val="0"/>
          <w:numId w:val="6"/>
        </w:numPr>
        <w:tabs>
          <w:tab w:val="clear" w:pos="360"/>
          <w:tab w:val="num" w:pos="720"/>
        </w:tabs>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Transaction Documentation</w:t>
      </w:r>
    </w:p>
    <w:p w14:paraId="52BB031F" w14:textId="26E9E0D6"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"Transaction Documentation" means term sheets, sale agreements, share purchase agreements, asset purchase agreements, disclosure schedules, due diligence reports, and related transaction documentation.</w:t>
      </w:r>
    </w:p>
    <w:p w14:paraId="6B73A9CE" w14:textId="77777777" w:rsidR="00D74B30" w:rsidRPr="00D74B30" w:rsidRDefault="00D74B30" w:rsidP="00D74B30">
      <w:pPr>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D. CONFIDENTIAL INFORMATION EXPANSION</w:t>
      </w:r>
    </w:p>
    <w:p w14:paraId="4F46331B"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Without limitation, Confidential Information includes:</w:t>
      </w:r>
    </w:p>
    <w:p w14:paraId="5323629B"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(a) sale opportunities, portfolio sale opportunities, divestment opportunities, monetization opportunities, strategic sale opportunities, and transaction opportunities;</w:t>
      </w:r>
    </w:p>
    <w:p w14:paraId="0F8ABF4F"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(b) project financial models, portfolio financial models, cash flow forecasts, revenue forecasts, valuation models, sale analyses, and sensitivity analyses;</w:t>
      </w:r>
    </w:p>
    <w:p w14:paraId="58D9FBDC"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(c) asset valuations, portfolio valuations, transaction pricing analyses, valuation methodologies, reserve price assumptions, and monetization assessments;</w:t>
      </w:r>
    </w:p>
    <w:p w14:paraId="3DA00FAC"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(d) project performance reports, generation reports, revenue reports, availability reports, operational reports, and performance assessments;</w:t>
      </w:r>
    </w:p>
    <w:p w14:paraId="408610C7"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(e) ownership structures, shareholding structures, governance arrangements, project company information, management information, and organizational information;</w:t>
      </w:r>
    </w:p>
    <w:p w14:paraId="723E6D38"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(f) PPAs, Corporate PPAs, Open Access arrangements, Captive arrangements, Group Captive arrangements, energy sale agreements, and commercial contracts;</w:t>
      </w:r>
    </w:p>
    <w:p w14:paraId="5FF0EFC2"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(g) EPC agreements, O&amp;M agreements, land agreements, ROW agreements, financing agreements, supply agreements, and project contracts;</w:t>
      </w:r>
    </w:p>
    <w:p w14:paraId="392ACD67"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(h) legal due diligence reports, technical due diligence reports, financial due diligence reports, tax due diligence reports, ESG assessments, and environmental assessments;</w:t>
      </w:r>
    </w:p>
    <w:p w14:paraId="3A16BFC9"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w:t>
      </w:r>
      <w:proofErr w:type="spellStart"/>
      <w:r w:rsidRPr="00D74B30">
        <w:rPr>
          <w:rFonts w:ascii="Times New Roman" w:hAnsi="Times New Roman" w:cs="Times New Roman"/>
          <w:color w:val="156082" w:themeColor="accent1"/>
        </w:rPr>
        <w:t>i</w:t>
      </w:r>
      <w:proofErr w:type="spellEnd"/>
      <w:r w:rsidRPr="00D74B30">
        <w:rPr>
          <w:rFonts w:ascii="Times New Roman" w:hAnsi="Times New Roman" w:cs="Times New Roman"/>
          <w:color w:val="156082" w:themeColor="accent1"/>
        </w:rPr>
        <w:t>) buyer lists, investor outreach activities, transaction processes, bidding processes, buyer evaluations, and strategic interest assessments;</w:t>
      </w:r>
    </w:p>
    <w:p w14:paraId="15C853EB"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(j) refinancing opportunities, debt information, lender arrangements, security packages, financing obligations, and capital structure information;</w:t>
      </w:r>
    </w:p>
    <w:p w14:paraId="4148264D"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(k) permits, licenses, approvals, regulatory clearances, compliance documentation, governmental correspondence, and regulatory assessments;</w:t>
      </w:r>
    </w:p>
    <w:p w14:paraId="07F24034"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(l) transaction negotiations, sale proposals, divestment strategies, transaction structures, amendment discussions, strategic reviews, and commercial correspondence; and</w:t>
      </w:r>
    </w:p>
    <w:p w14:paraId="50C3A431" w14:textId="7BF2F4D5"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lastRenderedPageBreak/>
        <w:t>(m) any other commercial, financial, technical, operational, legal, regulatory, divestment-related, monetization-related, sale-related, ownership-related, renewable-energy-related, strategic, or proprietary information disclosed in connection with the Sale Transaction.</w:t>
      </w:r>
    </w:p>
    <w:p w14:paraId="7C7EDBAA" w14:textId="77777777" w:rsidR="00D74B30" w:rsidRPr="00D74B30" w:rsidRDefault="00D74B30" w:rsidP="00D74B30">
      <w:pPr>
        <w:jc w:val="both"/>
        <w:rPr>
          <w:rFonts w:ascii="Times New Roman" w:hAnsi="Times New Roman" w:cs="Times New Roman"/>
          <w:b/>
          <w:bCs/>
          <w:color w:val="156082" w:themeColor="accent1"/>
        </w:rPr>
      </w:pPr>
      <w:r w:rsidRPr="00D74B30">
        <w:rPr>
          <w:rFonts w:ascii="Times New Roman" w:hAnsi="Times New Roman" w:cs="Times New Roman"/>
          <w:b/>
          <w:bCs/>
          <w:color w:val="156082" w:themeColor="accent1"/>
        </w:rPr>
        <w:t>E. OPTIONAL INTRODUCED CONTACTS DATASET</w:t>
      </w:r>
    </w:p>
    <w:p w14:paraId="29BE103B"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Project Owners</w:t>
      </w:r>
    </w:p>
    <w:p w14:paraId="7B816A7E"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Asset Owners</w:t>
      </w:r>
    </w:p>
    <w:p w14:paraId="2EDF536B"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Portfolio Owners</w:t>
      </w:r>
    </w:p>
    <w:p w14:paraId="488FFC39"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Infrastructure Funds</w:t>
      </w:r>
    </w:p>
    <w:p w14:paraId="56CBF411"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Private Equity Funds</w:t>
      </w:r>
    </w:p>
    <w:p w14:paraId="695F1673"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Strategic Investors</w:t>
      </w:r>
    </w:p>
    <w:p w14:paraId="7FED37A7"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Institutional Investors</w:t>
      </w:r>
    </w:p>
    <w:p w14:paraId="4A7D07DD"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Project Developers</w:t>
      </w:r>
    </w:p>
    <w:p w14:paraId="39A38F6A"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IPP Operators</w:t>
      </w:r>
    </w:p>
    <w:p w14:paraId="52C19F16"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Utilities</w:t>
      </w:r>
    </w:p>
    <w:p w14:paraId="6900F711"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Asset Managers</w:t>
      </w:r>
    </w:p>
    <w:p w14:paraId="65132C7A"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Investment Bankers</w:t>
      </w:r>
    </w:p>
    <w:p w14:paraId="2B9E3457"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Financial Advisors</w:t>
      </w:r>
    </w:p>
    <w:p w14:paraId="6F4AB649"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Legal Advisors</w:t>
      </w:r>
    </w:p>
    <w:p w14:paraId="203FEFB4"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Technical Advisors</w:t>
      </w:r>
    </w:p>
    <w:p w14:paraId="4FDB967E"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Independent Engineers</w:t>
      </w:r>
    </w:p>
    <w:p w14:paraId="36295244"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Lenders</w:t>
      </w:r>
    </w:p>
    <w:p w14:paraId="6A45C328"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Banks</w:t>
      </w:r>
    </w:p>
    <w:p w14:paraId="115CC82D"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Government Authorities</w:t>
      </w:r>
    </w:p>
    <w:p w14:paraId="2F781661"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Regulatory Authorities</w:t>
      </w:r>
    </w:p>
    <w:p w14:paraId="2CFF4B46"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Potential Buyers</w:t>
      </w:r>
    </w:p>
    <w:p w14:paraId="58F79392" w14:textId="77777777" w:rsidR="00D74B30" w:rsidRPr="00D74B30" w:rsidRDefault="00D74B30" w:rsidP="00D74B30">
      <w:pPr>
        <w:jc w:val="both"/>
        <w:rPr>
          <w:rFonts w:ascii="Times New Roman" w:hAnsi="Times New Roman" w:cs="Times New Roman"/>
          <w:color w:val="156082" w:themeColor="accent1"/>
        </w:rPr>
      </w:pPr>
      <w:r w:rsidRPr="00D74B30">
        <w:rPr>
          <w:rFonts w:ascii="Times New Roman" w:hAnsi="Times New Roman" w:cs="Times New Roman"/>
          <w:color w:val="156082" w:themeColor="accent1"/>
        </w:rPr>
        <w:t>Strategic Partners</w:t>
      </w:r>
    </w:p>
    <w:p w14:paraId="528D852C" w14:textId="77777777" w:rsidR="00D74B30" w:rsidRPr="00D74B30" w:rsidRDefault="00D74B30" w:rsidP="00D74B30">
      <w:pPr>
        <w:jc w:val="both"/>
        <w:rPr>
          <w:rFonts w:ascii="Times New Roman" w:hAnsi="Times New Roman" w:cs="Times New Roman"/>
          <w:color w:val="156082" w:themeColor="accent1"/>
        </w:rPr>
      </w:pPr>
    </w:p>
    <w:sectPr w:rsidR="00D74B30" w:rsidRPr="00D74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783"/>
    <w:multiLevelType w:val="multilevel"/>
    <w:tmpl w:val="114C150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DA91BCE"/>
    <w:multiLevelType w:val="multilevel"/>
    <w:tmpl w:val="A72268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784312D"/>
    <w:multiLevelType w:val="multilevel"/>
    <w:tmpl w:val="8B06C96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AAB1AD2"/>
    <w:multiLevelType w:val="multilevel"/>
    <w:tmpl w:val="5FDAB25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ADA5F89"/>
    <w:multiLevelType w:val="multilevel"/>
    <w:tmpl w:val="8D70993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B6C5A29"/>
    <w:multiLevelType w:val="multilevel"/>
    <w:tmpl w:val="3A5EAC1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37446335">
    <w:abstractNumId w:val="1"/>
  </w:num>
  <w:num w:numId="2" w16cid:durableId="1050223508">
    <w:abstractNumId w:val="5"/>
  </w:num>
  <w:num w:numId="3" w16cid:durableId="653607605">
    <w:abstractNumId w:val="3"/>
  </w:num>
  <w:num w:numId="4" w16cid:durableId="454956770">
    <w:abstractNumId w:val="4"/>
  </w:num>
  <w:num w:numId="5" w16cid:durableId="367489515">
    <w:abstractNumId w:val="0"/>
  </w:num>
  <w:num w:numId="6" w16cid:durableId="1686250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30"/>
    <w:rsid w:val="000A7ED5"/>
    <w:rsid w:val="00D74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E849"/>
  <w15:chartTrackingRefBased/>
  <w15:docId w15:val="{716668BB-DA7F-4D55-AC64-6B48D5BD0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B30"/>
    <w:rPr>
      <w:rFonts w:eastAsiaTheme="majorEastAsia" w:cstheme="majorBidi"/>
      <w:color w:val="272727" w:themeColor="text1" w:themeTint="D8"/>
    </w:rPr>
  </w:style>
  <w:style w:type="paragraph" w:styleId="Title">
    <w:name w:val="Title"/>
    <w:basedOn w:val="Normal"/>
    <w:next w:val="Normal"/>
    <w:link w:val="TitleChar"/>
    <w:uiPriority w:val="10"/>
    <w:qFormat/>
    <w:rsid w:val="00D74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B30"/>
    <w:pPr>
      <w:spacing w:before="160"/>
      <w:jc w:val="center"/>
    </w:pPr>
    <w:rPr>
      <w:i/>
      <w:iCs/>
      <w:color w:val="404040" w:themeColor="text1" w:themeTint="BF"/>
    </w:rPr>
  </w:style>
  <w:style w:type="character" w:customStyle="1" w:styleId="QuoteChar">
    <w:name w:val="Quote Char"/>
    <w:basedOn w:val="DefaultParagraphFont"/>
    <w:link w:val="Quote"/>
    <w:uiPriority w:val="29"/>
    <w:rsid w:val="00D74B30"/>
    <w:rPr>
      <w:i/>
      <w:iCs/>
      <w:color w:val="404040" w:themeColor="text1" w:themeTint="BF"/>
    </w:rPr>
  </w:style>
  <w:style w:type="paragraph" w:styleId="ListParagraph">
    <w:name w:val="List Paragraph"/>
    <w:basedOn w:val="Normal"/>
    <w:uiPriority w:val="34"/>
    <w:qFormat/>
    <w:rsid w:val="00D74B30"/>
    <w:pPr>
      <w:ind w:left="720"/>
      <w:contextualSpacing/>
    </w:pPr>
  </w:style>
  <w:style w:type="character" w:styleId="IntenseEmphasis">
    <w:name w:val="Intense Emphasis"/>
    <w:basedOn w:val="DefaultParagraphFont"/>
    <w:uiPriority w:val="21"/>
    <w:qFormat/>
    <w:rsid w:val="00D74B30"/>
    <w:rPr>
      <w:i/>
      <w:iCs/>
      <w:color w:val="0F4761" w:themeColor="accent1" w:themeShade="BF"/>
    </w:rPr>
  </w:style>
  <w:style w:type="paragraph" w:styleId="IntenseQuote">
    <w:name w:val="Intense Quote"/>
    <w:basedOn w:val="Normal"/>
    <w:next w:val="Normal"/>
    <w:link w:val="IntenseQuoteChar"/>
    <w:uiPriority w:val="30"/>
    <w:qFormat/>
    <w:rsid w:val="00D74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B30"/>
    <w:rPr>
      <w:i/>
      <w:iCs/>
      <w:color w:val="0F4761" w:themeColor="accent1" w:themeShade="BF"/>
    </w:rPr>
  </w:style>
  <w:style w:type="character" w:styleId="IntenseReference">
    <w:name w:val="Intense Reference"/>
    <w:basedOn w:val="DefaultParagraphFont"/>
    <w:uiPriority w:val="32"/>
    <w:qFormat/>
    <w:rsid w:val="00D74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2026-06-10T17:01:00Z</dcterms:created>
  <dcterms:modified xsi:type="dcterms:W3CDTF">2026-06-10T17:03:00Z</dcterms:modified>
</cp:coreProperties>
</file>