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DBB0" w14:textId="77777777" w:rsidR="00400593" w:rsidRPr="00400593" w:rsidRDefault="00400593" w:rsidP="00400593">
      <w:pPr>
        <w:jc w:val="center"/>
        <w:rPr>
          <w:rFonts w:ascii="Times New Roman" w:hAnsi="Times New Roman" w:cs="Times New Roman"/>
          <w:b/>
          <w:bCs/>
          <w:color w:val="156082" w:themeColor="accent1"/>
          <w:u w:val="single"/>
        </w:rPr>
      </w:pPr>
      <w:r w:rsidRPr="00400593">
        <w:rPr>
          <w:rFonts w:ascii="Times New Roman" w:hAnsi="Times New Roman" w:cs="Times New Roman"/>
          <w:b/>
          <w:bCs/>
          <w:color w:val="156082" w:themeColor="accent1"/>
          <w:u w:val="single"/>
        </w:rPr>
        <w:t>RE-25 – RENEWABLE PORTFOLIO ACQUISITION DISCUSSIONS</w:t>
      </w:r>
    </w:p>
    <w:p w14:paraId="0D128869" w14:textId="3C2565E4"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This pack is designed for infrastructure funds, private equity funds, pension funds, sovereign wealth funds, strategic investors, utilities, IPPs, asset managers, and renewable energy platform owners evaluating the acquisition of multiple renewable energy assets or entire renewable energy portfolios.</w:t>
      </w:r>
    </w:p>
    <w:p w14:paraId="1B07D753"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A. PURPOSE DEFINITION</w:t>
      </w:r>
    </w:p>
    <w:p w14:paraId="1AB49427" w14:textId="269D88D6"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"Purpose" means the evaluation, discussion, negotiation, structuring, acquisition, purchase, investment, financing, transfer, ownership, management, integration, consolidation, monetization, or potential acquisition of renewable energy portfolios, renewable energy platforms, project portfolios, project companies, infrastructure portfolios, energy transition assets, or associated businesses.</w:t>
      </w:r>
    </w:p>
    <w:p w14:paraId="1CA468E6"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B. RECITAL VARIANT</w:t>
      </w:r>
    </w:p>
    <w:p w14:paraId="6A58F307" w14:textId="77777777" w:rsidR="00400593" w:rsidRPr="00400593" w:rsidRDefault="00400593" w:rsidP="00400593">
      <w:pPr>
        <w:jc w:val="both"/>
        <w:rPr>
          <w:rFonts w:ascii="Times New Roman" w:hAnsi="Times New Roman" w:cs="Times New Roman"/>
          <w:color w:val="156082" w:themeColor="accent1"/>
        </w:rPr>
      </w:pPr>
      <w:proofErr w:type="gramStart"/>
      <w:r w:rsidRPr="00400593">
        <w:rPr>
          <w:rFonts w:ascii="Times New Roman" w:hAnsi="Times New Roman" w:cs="Times New Roman"/>
          <w:color w:val="156082" w:themeColor="accent1"/>
        </w:rPr>
        <w:t>WHEREAS,</w:t>
      </w:r>
      <w:proofErr w:type="gramEnd"/>
      <w:r w:rsidRPr="00400593">
        <w:rPr>
          <w:rFonts w:ascii="Times New Roman" w:hAnsi="Times New Roman" w:cs="Times New Roman"/>
          <w:color w:val="156082" w:themeColor="accent1"/>
        </w:rPr>
        <w:t xml:space="preserve"> the Parties desire to evaluate and discuss a potential acquisition of renewable energy portfolios, renewable energy platforms, project portfolios, project companies, infrastructure assets, or related investment opportunities;</w:t>
      </w:r>
    </w:p>
    <w:p w14:paraId="71704B93"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WHEREAS, in connection with such discussions, evaluations, due diligence activities, transaction assessments, financing reviews, and negotiations, the Parties may disclose and exchange confidential commercial, financial, technical, operational, legal, regulatory, portfolio-related, and proprietary information;</w:t>
      </w:r>
    </w:p>
    <w:p w14:paraId="17603AD6" w14:textId="3ACD968E" w:rsidR="00400593" w:rsidRPr="00400593" w:rsidRDefault="00400593" w:rsidP="00400593">
      <w:pPr>
        <w:jc w:val="both"/>
        <w:rPr>
          <w:rFonts w:ascii="Times New Roman" w:hAnsi="Times New Roman" w:cs="Times New Roman"/>
          <w:color w:val="156082" w:themeColor="accent1"/>
        </w:rPr>
      </w:pPr>
      <w:proofErr w:type="gramStart"/>
      <w:r w:rsidRPr="00400593">
        <w:rPr>
          <w:rFonts w:ascii="Times New Roman" w:hAnsi="Times New Roman" w:cs="Times New Roman"/>
          <w:color w:val="156082" w:themeColor="accent1"/>
        </w:rPr>
        <w:t>WHEREAS,</w:t>
      </w:r>
      <w:proofErr w:type="gramEnd"/>
      <w:r w:rsidRPr="00400593">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1BDD02C"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C. ADDITIONAL DEFINITIONS</w:t>
      </w:r>
    </w:p>
    <w:p w14:paraId="49E81D2C"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1. Portfolio Acquisition Transaction</w:t>
      </w:r>
    </w:p>
    <w:p w14:paraId="68B3FE1E"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"Portfolio Acquisition Transaction" means any actual, proposed, contemplated, or potential acquisition, purchase, merger, consolidation, investment, transfer, platform acquisition, portfolio acquisition, business combination, or ownership transaction involving multiple renewable energy assets.</w:t>
      </w:r>
    </w:p>
    <w:p w14:paraId="5C28BCA2"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2. Renewable Portfolio</w:t>
      </w:r>
    </w:p>
    <w:p w14:paraId="21D976BC"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"Renewable Portfolio" means a collection of renewable energy projects, project companies, operating assets, development assets, transmission assets, energy storage assets, infrastructure assets, or associated businesses managed or owned collectively.</w:t>
      </w:r>
    </w:p>
    <w:p w14:paraId="2EACC2A5"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3. Portfolio Information</w:t>
      </w:r>
    </w:p>
    <w:p w14:paraId="34B3FE32"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"Portfolio Information" means information relating to portfolio composition, portfolio performance, portfolio valuations, portfolio risks, portfolio operations, portfolio management activities, and portfolio strategies.</w:t>
      </w:r>
    </w:p>
    <w:p w14:paraId="782B9E3A"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4. Platform Information</w:t>
      </w:r>
    </w:p>
    <w:p w14:paraId="3C61FDA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lastRenderedPageBreak/>
        <w:t>"Platform Information" means information relating to renewable energy platforms, operating platforms, development platforms, management structures, organizational structures, operating procedures, and platform strategies.</w:t>
      </w:r>
    </w:p>
    <w:p w14:paraId="164C9669"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5. Acquisition Information</w:t>
      </w:r>
    </w:p>
    <w:p w14:paraId="1332EA1A"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"Acquisition Information" means information relating to acquisition structures, transaction strategies, valuation methodologies, acquisition terms, negotiation positions, acquisition opportunities, and transaction execution plans.</w:t>
      </w:r>
    </w:p>
    <w:p w14:paraId="234BA484"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6. Portfolio Transaction Documentation</w:t>
      </w:r>
    </w:p>
    <w:p w14:paraId="32DA5E2D" w14:textId="6674D48A"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"Portfolio Transaction Documentation" means teasers, information memoranda, portfolio summaries, management presentations, term sheets, acquisition agreements, disclosure schedules, due diligence reports, and related transaction documentation.</w:t>
      </w:r>
    </w:p>
    <w:p w14:paraId="7E5BBC29"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D. CONFIDENTIAL INFORMATION EXPANSION</w:t>
      </w:r>
    </w:p>
    <w:p w14:paraId="204E6C9A"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Without limitation, Confidential Information includes:</w:t>
      </w:r>
    </w:p>
    <w:p w14:paraId="7BA9259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(a) portfolio acquisition opportunities, platform acquisition opportunities, strategic acquisition opportunities, investment opportunities, and consolidation opportunities;</w:t>
      </w:r>
    </w:p>
    <w:p w14:paraId="2313DCF0"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(b) portfolio financial models, asset-level financial models, valuation models, cash flow forecasts, revenue forecasts, acquisition analyses, and sensitivity analyses;</w:t>
      </w:r>
    </w:p>
    <w:p w14:paraId="4C0F96F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(c) portfolio valuations, asset valuations, transaction pricing analyses, valuation methodologies, purchase price assumptions, and investment assessments;</w:t>
      </w:r>
    </w:p>
    <w:p w14:paraId="0D1F48EA"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(d) portfolio performance reports, generation reports, revenue reports, availability reports, operational reports, and asset performance assessments;</w:t>
      </w:r>
    </w:p>
    <w:p w14:paraId="043D01EB"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(e) portfolio composition information, asset ownership information, shareholding structures, governance arrangements, management information, and organizational information;</w:t>
      </w:r>
    </w:p>
    <w:p w14:paraId="337F3DBC"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(f) project pipelines, development portfolios, expansion opportunities, repowering opportunities, platform growth opportunities, and strategic growth initiatives;</w:t>
      </w:r>
    </w:p>
    <w:p w14:paraId="337012F7"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(g) PPAs, Corporate PPAs, Open Access arrangements, Captive arrangements, Group Captive arrangements, REC arrangements, carbon credit arrangements, and commercial contracts relating to portfolio assets;</w:t>
      </w:r>
    </w:p>
    <w:p w14:paraId="6D945403"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(h) EPC agreements, O&amp;M agreements, land agreements, ROW agreements, financing agreements, supply agreements, shareholder agreements, and project contracts relating to portfolio assets;</w:t>
      </w:r>
    </w:p>
    <w:p w14:paraId="6E67DF7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 legal due diligence reports, technical due diligence reports, financial due diligence reports, tax due diligence reports, ESG assessments, environmental assessments, and compliance reviews relating to portfolio assets;</w:t>
      </w:r>
    </w:p>
    <w:p w14:paraId="21F4B31F"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lastRenderedPageBreak/>
        <w:t>(j) refinancing opportunities, debt information, lender arrangements, security packages, financing assessments, capital structure information, and funding strategies across the portfolio;</w:t>
      </w:r>
    </w:p>
    <w:p w14:paraId="43886C7A"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(k) permits, licenses, approvals, regulatory clearances, compliance documentation, governmental correspondence, and regulatory assessments affecting portfolio assets;</w:t>
      </w:r>
    </w:p>
    <w:p w14:paraId="63B65158"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(l) integration plans, transition plans, asset management strategies, operational improvement plans, optimization initiatives, and portfolio management initiatives;</w:t>
      </w:r>
    </w:p>
    <w:p w14:paraId="645B92AE"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(m) transaction negotiations, acquisition proposals, transaction structures, strategic reviews, integration planning discussions, and commercial correspondence; and</w:t>
      </w:r>
    </w:p>
    <w:p w14:paraId="281704C3"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(n) any other commercial, financial, technical, operational, legal, regulatory, portfolio-related, acquisition-related, ownership-related, renewable-energy-related, strategic, or proprietary information disclosed in connection with the Portfolio Acquisition Transaction.</w:t>
      </w:r>
    </w:p>
    <w:p w14:paraId="161E87BB"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pict w14:anchorId="19A5FCD9">
          <v:rect id="_x0000_i1059" style="width:0;height:1.5pt" o:hralign="center" o:hrstd="t" o:hr="t" fillcolor="#a0a0a0" stroked="f"/>
        </w:pict>
      </w:r>
    </w:p>
    <w:p w14:paraId="2C49D113" w14:textId="77777777" w:rsidR="00400593" w:rsidRPr="00400593" w:rsidRDefault="00400593" w:rsidP="00400593">
      <w:pPr>
        <w:jc w:val="both"/>
        <w:rPr>
          <w:rFonts w:ascii="Times New Roman" w:hAnsi="Times New Roman" w:cs="Times New Roman"/>
          <w:b/>
          <w:bCs/>
          <w:color w:val="156082" w:themeColor="accent1"/>
        </w:rPr>
      </w:pPr>
      <w:r w:rsidRPr="00400593">
        <w:rPr>
          <w:rFonts w:ascii="Times New Roman" w:hAnsi="Times New Roman" w:cs="Times New Roman"/>
          <w:b/>
          <w:bCs/>
          <w:color w:val="156082" w:themeColor="accent1"/>
        </w:rPr>
        <w:t>E. OPTIONAL INTRODUCED CONTACTS DATASET</w:t>
      </w:r>
    </w:p>
    <w:p w14:paraId="26E68BF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Infrastructure Funds</w:t>
      </w:r>
    </w:p>
    <w:p w14:paraId="75942FD6"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Private Equity Funds</w:t>
      </w:r>
    </w:p>
    <w:p w14:paraId="50FC0BEB"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Pension Funds</w:t>
      </w:r>
    </w:p>
    <w:p w14:paraId="706214DA"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Sovereign Wealth Funds</w:t>
      </w:r>
    </w:p>
    <w:p w14:paraId="7DC6F144"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Strategic Investors</w:t>
      </w:r>
    </w:p>
    <w:p w14:paraId="5422CA7E"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Institutional Investors</w:t>
      </w:r>
    </w:p>
    <w:p w14:paraId="55BF294D"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Project Owners</w:t>
      </w:r>
    </w:p>
    <w:p w14:paraId="21A04D89"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Portfolio Owners</w:t>
      </w:r>
    </w:p>
    <w:p w14:paraId="1DCB3D17"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Asset Managers</w:t>
      </w:r>
    </w:p>
    <w:p w14:paraId="18F3574D"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Utilities</w:t>
      </w:r>
    </w:p>
    <w:p w14:paraId="4A68E470"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IPP Operators</w:t>
      </w:r>
    </w:p>
    <w:p w14:paraId="351070C2"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Project Developers</w:t>
      </w:r>
    </w:p>
    <w:p w14:paraId="52C294AC"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Investment Bankers</w:t>
      </w:r>
    </w:p>
    <w:p w14:paraId="0DCE6E4B"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Financial Advisors</w:t>
      </w:r>
    </w:p>
    <w:p w14:paraId="4369E4A0"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Legal Advisors</w:t>
      </w:r>
    </w:p>
    <w:p w14:paraId="50749C80"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Technical Advisors</w:t>
      </w:r>
    </w:p>
    <w:p w14:paraId="24A4B431"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Independent Engineers</w:t>
      </w:r>
    </w:p>
    <w:p w14:paraId="5DA17F89"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lastRenderedPageBreak/>
        <w:t>Lenders</w:t>
      </w:r>
    </w:p>
    <w:p w14:paraId="17A68C67"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Banks</w:t>
      </w:r>
    </w:p>
    <w:p w14:paraId="6B6518E4"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Government Authorities</w:t>
      </w:r>
    </w:p>
    <w:p w14:paraId="2078DBFD"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Regulatory Authorities</w:t>
      </w:r>
    </w:p>
    <w:p w14:paraId="579C47CF" w14:textId="77777777" w:rsidR="00400593" w:rsidRPr="00400593" w:rsidRDefault="00400593" w:rsidP="00400593">
      <w:pPr>
        <w:jc w:val="both"/>
        <w:rPr>
          <w:rFonts w:ascii="Times New Roman" w:hAnsi="Times New Roman" w:cs="Times New Roman"/>
          <w:color w:val="156082" w:themeColor="accent1"/>
        </w:rPr>
      </w:pPr>
      <w:r w:rsidRPr="00400593">
        <w:rPr>
          <w:rFonts w:ascii="Times New Roman" w:hAnsi="Times New Roman" w:cs="Times New Roman"/>
          <w:color w:val="156082" w:themeColor="accent1"/>
        </w:rPr>
        <w:t>Strategic Partners</w:t>
      </w:r>
    </w:p>
    <w:p w14:paraId="6F4B045F" w14:textId="77777777" w:rsidR="00400593" w:rsidRPr="00400593" w:rsidRDefault="00400593" w:rsidP="00400593">
      <w:pPr>
        <w:jc w:val="both"/>
        <w:rPr>
          <w:rFonts w:ascii="Times New Roman" w:hAnsi="Times New Roman" w:cs="Times New Roman"/>
          <w:color w:val="156082" w:themeColor="accent1"/>
        </w:rPr>
      </w:pPr>
    </w:p>
    <w:sectPr w:rsidR="00400593" w:rsidRPr="00400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593"/>
    <w:rsid w:val="00400593"/>
    <w:rsid w:val="00B0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CD02"/>
  <w15:chartTrackingRefBased/>
  <w15:docId w15:val="{0BD5F721-C7B6-4818-900F-0C258245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593"/>
    <w:rPr>
      <w:rFonts w:eastAsiaTheme="majorEastAsia" w:cstheme="majorBidi"/>
      <w:color w:val="272727" w:themeColor="text1" w:themeTint="D8"/>
    </w:rPr>
  </w:style>
  <w:style w:type="paragraph" w:styleId="Title">
    <w:name w:val="Title"/>
    <w:basedOn w:val="Normal"/>
    <w:next w:val="Normal"/>
    <w:link w:val="TitleChar"/>
    <w:uiPriority w:val="10"/>
    <w:qFormat/>
    <w:rsid w:val="00400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593"/>
    <w:pPr>
      <w:spacing w:before="160"/>
      <w:jc w:val="center"/>
    </w:pPr>
    <w:rPr>
      <w:i/>
      <w:iCs/>
      <w:color w:val="404040" w:themeColor="text1" w:themeTint="BF"/>
    </w:rPr>
  </w:style>
  <w:style w:type="character" w:customStyle="1" w:styleId="QuoteChar">
    <w:name w:val="Quote Char"/>
    <w:basedOn w:val="DefaultParagraphFont"/>
    <w:link w:val="Quote"/>
    <w:uiPriority w:val="29"/>
    <w:rsid w:val="00400593"/>
    <w:rPr>
      <w:i/>
      <w:iCs/>
      <w:color w:val="404040" w:themeColor="text1" w:themeTint="BF"/>
    </w:rPr>
  </w:style>
  <w:style w:type="paragraph" w:styleId="ListParagraph">
    <w:name w:val="List Paragraph"/>
    <w:basedOn w:val="Normal"/>
    <w:uiPriority w:val="34"/>
    <w:qFormat/>
    <w:rsid w:val="00400593"/>
    <w:pPr>
      <w:ind w:left="720"/>
      <w:contextualSpacing/>
    </w:pPr>
  </w:style>
  <w:style w:type="character" w:styleId="IntenseEmphasis">
    <w:name w:val="Intense Emphasis"/>
    <w:basedOn w:val="DefaultParagraphFont"/>
    <w:uiPriority w:val="21"/>
    <w:qFormat/>
    <w:rsid w:val="00400593"/>
    <w:rPr>
      <w:i/>
      <w:iCs/>
      <w:color w:val="0F4761" w:themeColor="accent1" w:themeShade="BF"/>
    </w:rPr>
  </w:style>
  <w:style w:type="paragraph" w:styleId="IntenseQuote">
    <w:name w:val="Intense Quote"/>
    <w:basedOn w:val="Normal"/>
    <w:next w:val="Normal"/>
    <w:link w:val="IntenseQuoteChar"/>
    <w:uiPriority w:val="30"/>
    <w:qFormat/>
    <w:rsid w:val="00400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593"/>
    <w:rPr>
      <w:i/>
      <w:iCs/>
      <w:color w:val="0F4761" w:themeColor="accent1" w:themeShade="BF"/>
    </w:rPr>
  </w:style>
  <w:style w:type="character" w:styleId="IntenseReference">
    <w:name w:val="Intense Reference"/>
    <w:basedOn w:val="DefaultParagraphFont"/>
    <w:uiPriority w:val="32"/>
    <w:qFormat/>
    <w:rsid w:val="00400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2026-06-11T05:49:00Z</dcterms:created>
  <dcterms:modified xsi:type="dcterms:W3CDTF">2026-06-11T05:50:00Z</dcterms:modified>
</cp:coreProperties>
</file>