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7FF33" w14:textId="77777777" w:rsidR="00124CFB" w:rsidRPr="00124CFB" w:rsidRDefault="00124CFB" w:rsidP="00124CFB">
      <w:pPr>
        <w:jc w:val="center"/>
        <w:rPr>
          <w:rFonts w:ascii="Times New Roman" w:hAnsi="Times New Roman" w:cs="Times New Roman"/>
          <w:b/>
          <w:bCs/>
          <w:color w:val="156082" w:themeColor="accent1"/>
          <w:u w:val="single"/>
        </w:rPr>
      </w:pPr>
      <w:r w:rsidRPr="00124CFB">
        <w:rPr>
          <w:rFonts w:ascii="Times New Roman" w:hAnsi="Times New Roman" w:cs="Times New Roman"/>
          <w:b/>
          <w:bCs/>
          <w:color w:val="156082" w:themeColor="accent1"/>
          <w:u w:val="single"/>
        </w:rPr>
        <w:t>RE-26 – CO-INVESTMENT DISCUSSIONS</w:t>
      </w:r>
    </w:p>
    <w:p w14:paraId="6176C2D0" w14:textId="6C900C64"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This pack is designed for infrastructure funds, private equity funds, pension funds, sovereign wealth funds, strategic investors, project developers, utilities, family offices, institutional investors, and platform investors evaluating joint investments in renewable energy projects, portfolios, platforms, or infrastructure assets.</w:t>
      </w:r>
    </w:p>
    <w:p w14:paraId="241C7F1B" w14:textId="77777777" w:rsidR="00124CFB" w:rsidRPr="00124CFB" w:rsidRDefault="00124CFB" w:rsidP="00124CFB">
      <w:pPr>
        <w:jc w:val="both"/>
        <w:rPr>
          <w:rFonts w:ascii="Times New Roman" w:hAnsi="Times New Roman" w:cs="Times New Roman"/>
          <w:b/>
          <w:bCs/>
          <w:color w:val="156082" w:themeColor="accent1"/>
        </w:rPr>
      </w:pPr>
      <w:r w:rsidRPr="00124CFB">
        <w:rPr>
          <w:rFonts w:ascii="Times New Roman" w:hAnsi="Times New Roman" w:cs="Times New Roman"/>
          <w:b/>
          <w:bCs/>
          <w:color w:val="156082" w:themeColor="accent1"/>
        </w:rPr>
        <w:t>A. PURPOSE DEFINITION</w:t>
      </w:r>
    </w:p>
    <w:p w14:paraId="1202F82F" w14:textId="259DABAC"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"Purpose" means the evaluation, discussion, negotiation, structuring, financing, investment, co-investment, acquisition, ownership, governance, management, operation, monetization, exit, or potential participation in renewable energy projects, renewable energy portfolios, renewable energy platforms, infrastructure assets, project companies, or associated businesses through a co-investment arrangement.</w:t>
      </w:r>
    </w:p>
    <w:p w14:paraId="16F7EFE1" w14:textId="77777777" w:rsidR="00124CFB" w:rsidRPr="00124CFB" w:rsidRDefault="00124CFB" w:rsidP="00124CFB">
      <w:pPr>
        <w:jc w:val="both"/>
        <w:rPr>
          <w:rFonts w:ascii="Times New Roman" w:hAnsi="Times New Roman" w:cs="Times New Roman"/>
          <w:b/>
          <w:bCs/>
          <w:color w:val="156082" w:themeColor="accent1"/>
        </w:rPr>
      </w:pPr>
      <w:r w:rsidRPr="00124CFB">
        <w:rPr>
          <w:rFonts w:ascii="Times New Roman" w:hAnsi="Times New Roman" w:cs="Times New Roman"/>
          <w:b/>
          <w:bCs/>
          <w:color w:val="156082" w:themeColor="accent1"/>
        </w:rPr>
        <w:t>B. RECITAL VARIANT</w:t>
      </w:r>
    </w:p>
    <w:p w14:paraId="40BA452F" w14:textId="77777777" w:rsidR="00124CFB" w:rsidRPr="00124CFB" w:rsidRDefault="00124CFB" w:rsidP="00124CFB">
      <w:pPr>
        <w:jc w:val="both"/>
        <w:rPr>
          <w:rFonts w:ascii="Times New Roman" w:hAnsi="Times New Roman" w:cs="Times New Roman"/>
          <w:color w:val="156082" w:themeColor="accent1"/>
        </w:rPr>
      </w:pPr>
      <w:proofErr w:type="gramStart"/>
      <w:r w:rsidRPr="00124CFB">
        <w:rPr>
          <w:rFonts w:ascii="Times New Roman" w:hAnsi="Times New Roman" w:cs="Times New Roman"/>
          <w:color w:val="156082" w:themeColor="accent1"/>
        </w:rPr>
        <w:t>WHEREAS,</w:t>
      </w:r>
      <w:proofErr w:type="gramEnd"/>
      <w:r w:rsidRPr="00124CFB">
        <w:rPr>
          <w:rFonts w:ascii="Times New Roman" w:hAnsi="Times New Roman" w:cs="Times New Roman"/>
          <w:color w:val="156082" w:themeColor="accent1"/>
        </w:rPr>
        <w:t xml:space="preserve"> the Parties desire to evaluate and discuss a potential co-investment opportunity, joint investment arrangement, strategic investment relationship, infrastructure investment opportunity, renewable energy investment transaction, or related commercial relationship;</w:t>
      </w:r>
    </w:p>
    <w:p w14:paraId="44FCE9A0"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WHEREAS, in connection with such discussions, evaluations, due diligence activities, investment assessments, financing reviews, and negotiations, the Parties may disclose and exchange confidential commercial, financial, technical, operational, legal, regulatory, investment-related, and proprietary information;</w:t>
      </w:r>
    </w:p>
    <w:p w14:paraId="28798D89" w14:textId="36A13F35" w:rsidR="00124CFB" w:rsidRPr="00124CFB" w:rsidRDefault="00124CFB" w:rsidP="00124CFB">
      <w:pPr>
        <w:jc w:val="both"/>
        <w:rPr>
          <w:rFonts w:ascii="Times New Roman" w:hAnsi="Times New Roman" w:cs="Times New Roman"/>
          <w:color w:val="156082" w:themeColor="accent1"/>
        </w:rPr>
      </w:pPr>
      <w:proofErr w:type="gramStart"/>
      <w:r w:rsidRPr="00124CFB">
        <w:rPr>
          <w:rFonts w:ascii="Times New Roman" w:hAnsi="Times New Roman" w:cs="Times New Roman"/>
          <w:color w:val="156082" w:themeColor="accent1"/>
        </w:rPr>
        <w:t>WHEREAS,</w:t>
      </w:r>
      <w:proofErr w:type="gramEnd"/>
      <w:r w:rsidRPr="00124CFB">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5A3777EA" w14:textId="77777777" w:rsidR="00124CFB" w:rsidRPr="00124CFB" w:rsidRDefault="00124CFB" w:rsidP="00124CFB">
      <w:pPr>
        <w:jc w:val="both"/>
        <w:rPr>
          <w:rFonts w:ascii="Times New Roman" w:hAnsi="Times New Roman" w:cs="Times New Roman"/>
          <w:b/>
          <w:bCs/>
          <w:color w:val="156082" w:themeColor="accent1"/>
        </w:rPr>
      </w:pPr>
      <w:r w:rsidRPr="00124CFB">
        <w:rPr>
          <w:rFonts w:ascii="Times New Roman" w:hAnsi="Times New Roman" w:cs="Times New Roman"/>
          <w:b/>
          <w:bCs/>
          <w:color w:val="156082" w:themeColor="accent1"/>
        </w:rPr>
        <w:t>C. ADDITIONAL DEFINITIONS</w:t>
      </w:r>
    </w:p>
    <w:p w14:paraId="1D004039" w14:textId="77777777" w:rsidR="00124CFB" w:rsidRPr="00124CFB" w:rsidRDefault="00124CFB" w:rsidP="00124CFB">
      <w:pPr>
        <w:jc w:val="both"/>
        <w:rPr>
          <w:rFonts w:ascii="Times New Roman" w:hAnsi="Times New Roman" w:cs="Times New Roman"/>
          <w:b/>
          <w:bCs/>
          <w:color w:val="156082" w:themeColor="accent1"/>
        </w:rPr>
      </w:pPr>
      <w:r w:rsidRPr="00124CFB">
        <w:rPr>
          <w:rFonts w:ascii="Times New Roman" w:hAnsi="Times New Roman" w:cs="Times New Roman"/>
          <w:b/>
          <w:bCs/>
          <w:color w:val="156082" w:themeColor="accent1"/>
        </w:rPr>
        <w:t>1. Co-Investment Arrangement</w:t>
      </w:r>
    </w:p>
    <w:p w14:paraId="2DAC99FC"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"Co-Investment Arrangement" means any arrangement under which two or more parties jointly invest, acquire, finance, own, develop, manage, operate, or monetize renewable energy assets, projects, portfolios, or infrastructure assets.</w:t>
      </w:r>
    </w:p>
    <w:p w14:paraId="519C12C4" w14:textId="77777777" w:rsidR="00124CFB" w:rsidRPr="00124CFB" w:rsidRDefault="00124CFB" w:rsidP="00124CFB">
      <w:pPr>
        <w:jc w:val="both"/>
        <w:rPr>
          <w:rFonts w:ascii="Times New Roman" w:hAnsi="Times New Roman" w:cs="Times New Roman"/>
          <w:b/>
          <w:bCs/>
          <w:color w:val="156082" w:themeColor="accent1"/>
        </w:rPr>
      </w:pPr>
      <w:r w:rsidRPr="00124CFB">
        <w:rPr>
          <w:rFonts w:ascii="Times New Roman" w:hAnsi="Times New Roman" w:cs="Times New Roman"/>
          <w:b/>
          <w:bCs/>
          <w:color w:val="156082" w:themeColor="accent1"/>
        </w:rPr>
        <w:t>2. Investment Information</w:t>
      </w:r>
    </w:p>
    <w:p w14:paraId="6B88C836"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"Investment Information" means information relating to investment structures, investment strategies, ownership arrangements, governance rights, financing arrangements, investment criteria, and transaction terms.</w:t>
      </w:r>
    </w:p>
    <w:p w14:paraId="7975A5BE" w14:textId="77777777" w:rsidR="00124CFB" w:rsidRPr="00124CFB" w:rsidRDefault="00124CFB" w:rsidP="00124CFB">
      <w:pPr>
        <w:jc w:val="both"/>
        <w:rPr>
          <w:rFonts w:ascii="Times New Roman" w:hAnsi="Times New Roman" w:cs="Times New Roman"/>
          <w:b/>
          <w:bCs/>
          <w:color w:val="156082" w:themeColor="accent1"/>
        </w:rPr>
      </w:pPr>
      <w:r w:rsidRPr="00124CFB">
        <w:rPr>
          <w:rFonts w:ascii="Times New Roman" w:hAnsi="Times New Roman" w:cs="Times New Roman"/>
          <w:b/>
          <w:bCs/>
          <w:color w:val="156082" w:themeColor="accent1"/>
        </w:rPr>
        <w:t>3. Investor Information</w:t>
      </w:r>
    </w:p>
    <w:p w14:paraId="31645A0B"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"Investor Information" means information relating to investors, investment mandates, investment capacities, funding capabilities, investment committees, investment objectives, and investment decisions.</w:t>
      </w:r>
    </w:p>
    <w:p w14:paraId="71DF20C0" w14:textId="77777777" w:rsidR="00124CFB" w:rsidRPr="00124CFB" w:rsidRDefault="00124CFB" w:rsidP="00124CFB">
      <w:pPr>
        <w:jc w:val="both"/>
        <w:rPr>
          <w:rFonts w:ascii="Times New Roman" w:hAnsi="Times New Roman" w:cs="Times New Roman"/>
          <w:b/>
          <w:bCs/>
          <w:color w:val="156082" w:themeColor="accent1"/>
        </w:rPr>
      </w:pPr>
      <w:r w:rsidRPr="00124CFB">
        <w:rPr>
          <w:rFonts w:ascii="Times New Roman" w:hAnsi="Times New Roman" w:cs="Times New Roman"/>
          <w:b/>
          <w:bCs/>
          <w:color w:val="156082" w:themeColor="accent1"/>
        </w:rPr>
        <w:t>4. Governance Information</w:t>
      </w:r>
    </w:p>
    <w:p w14:paraId="17F84DE7"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lastRenderedPageBreak/>
        <w:t>"Governance Information" means information relating to board rights, voting rights, reserved matters, management rights, shareholder protections, consent rights, and governance structures.</w:t>
      </w:r>
    </w:p>
    <w:p w14:paraId="2BD15CFA" w14:textId="77777777" w:rsidR="00124CFB" w:rsidRPr="00124CFB" w:rsidRDefault="00124CFB" w:rsidP="00124CFB">
      <w:pPr>
        <w:jc w:val="both"/>
        <w:rPr>
          <w:rFonts w:ascii="Times New Roman" w:hAnsi="Times New Roman" w:cs="Times New Roman"/>
          <w:b/>
          <w:bCs/>
          <w:color w:val="156082" w:themeColor="accent1"/>
        </w:rPr>
      </w:pPr>
      <w:r w:rsidRPr="00124CFB">
        <w:rPr>
          <w:rFonts w:ascii="Times New Roman" w:hAnsi="Times New Roman" w:cs="Times New Roman"/>
          <w:b/>
          <w:bCs/>
          <w:color w:val="156082" w:themeColor="accent1"/>
        </w:rPr>
        <w:t>5. Portfolio Information</w:t>
      </w:r>
    </w:p>
    <w:p w14:paraId="19E8B64B"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"Portfolio Information" means information relating to project portfolios, investment portfolios, portfolio performance, portfolio valuations, portfolio risks, and portfolio management activities.</w:t>
      </w:r>
    </w:p>
    <w:p w14:paraId="0FA61C10" w14:textId="77777777" w:rsidR="00124CFB" w:rsidRPr="00124CFB" w:rsidRDefault="00124CFB" w:rsidP="00124CFB">
      <w:pPr>
        <w:jc w:val="both"/>
        <w:rPr>
          <w:rFonts w:ascii="Times New Roman" w:hAnsi="Times New Roman" w:cs="Times New Roman"/>
          <w:b/>
          <w:bCs/>
          <w:color w:val="156082" w:themeColor="accent1"/>
        </w:rPr>
      </w:pPr>
      <w:r w:rsidRPr="00124CFB">
        <w:rPr>
          <w:rFonts w:ascii="Times New Roman" w:hAnsi="Times New Roman" w:cs="Times New Roman"/>
          <w:b/>
          <w:bCs/>
          <w:color w:val="156082" w:themeColor="accent1"/>
        </w:rPr>
        <w:t>6. Co-Investment Documentation</w:t>
      </w:r>
    </w:p>
    <w:p w14:paraId="7E1151AA" w14:textId="784DE6DB"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"Co-Investment Documentation" means term sheets, investment agreements, shareholders' agreements, subscription agreements, governance documents, side letters, disclosure schedules, and related transaction documentation.</w:t>
      </w:r>
    </w:p>
    <w:p w14:paraId="7976D161" w14:textId="77777777" w:rsidR="00124CFB" w:rsidRPr="00124CFB" w:rsidRDefault="00124CFB" w:rsidP="00124CFB">
      <w:pPr>
        <w:jc w:val="both"/>
        <w:rPr>
          <w:rFonts w:ascii="Times New Roman" w:hAnsi="Times New Roman" w:cs="Times New Roman"/>
          <w:b/>
          <w:bCs/>
          <w:color w:val="156082" w:themeColor="accent1"/>
        </w:rPr>
      </w:pPr>
      <w:r w:rsidRPr="00124CFB">
        <w:rPr>
          <w:rFonts w:ascii="Times New Roman" w:hAnsi="Times New Roman" w:cs="Times New Roman"/>
          <w:b/>
          <w:bCs/>
          <w:color w:val="156082" w:themeColor="accent1"/>
        </w:rPr>
        <w:t>D. CONFIDENTIAL INFORMATION EXPANSION</w:t>
      </w:r>
    </w:p>
    <w:p w14:paraId="5E4B625C"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Without limitation, Confidential Information includes:</w:t>
      </w:r>
    </w:p>
    <w:p w14:paraId="0D094176"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(a) co-investment opportunities, joint investment opportunities, strategic investment opportunities, acquisition opportunities, and infrastructure investment opportunities;</w:t>
      </w:r>
    </w:p>
    <w:p w14:paraId="3720FDC5"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(b) investment structures, transaction structures, ownership arrangements, participation structures, funding arrangements, and capital deployment strategies;</w:t>
      </w:r>
    </w:p>
    <w:p w14:paraId="07B4475C"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(c) project financial models, portfolio financial models, valuation models, cash flow forecasts, revenue forecasts, investment analyses, and sensitivity analyses;</w:t>
      </w:r>
    </w:p>
    <w:p w14:paraId="2A225144"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(d) investor mandates, investment criteria, investment committee materials, fundraising materials, investment memoranda, and strategic investment plans;</w:t>
      </w:r>
    </w:p>
    <w:p w14:paraId="01946411"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(e) governance arrangements, shareholder rights, board rights, voting rights, reserved matters, consent rights, management rights, and governance frameworks;</w:t>
      </w:r>
    </w:p>
    <w:p w14:paraId="34CF82CB"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(f) asset valuations, portfolio valuations, transaction pricing analyses, investment assessments, return analyses, and financial evaluations;</w:t>
      </w:r>
    </w:p>
    <w:p w14:paraId="17D97C71"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(g) financing arrangements, debt structures, refinancing opportunities, lender assessments, capital structures, and financing strategies;</w:t>
      </w:r>
    </w:p>
    <w:p w14:paraId="0D87C01A"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(h) due diligence reports, legal due diligence reports, technical due diligence reports, financial due diligence reports, tax due diligence reports, ESG assessments, and environmental assessments;</w:t>
      </w:r>
    </w:p>
    <w:p w14:paraId="2BE15464"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(i) project performance reports, operational reports, generation reports, revenue reports, asset management reports, and performance assessments;</w:t>
      </w:r>
    </w:p>
    <w:p w14:paraId="7E6F3F3A"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(j) acquisition opportunities, development opportunities, expansion opportunities, platform growth opportunities, and strategic transaction opportunities;</w:t>
      </w:r>
    </w:p>
    <w:p w14:paraId="0CD993CA"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lastRenderedPageBreak/>
        <w:t>(k) exit strategies, monetization strategies, divestment plans, liquidity events, secondary transactions, and recapitalization opportunities;</w:t>
      </w:r>
    </w:p>
    <w:p w14:paraId="1207640F"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(l) negotiations, transaction discussions, governance discussions, investment committee discussions, strategic reviews, and commercial correspondence; and</w:t>
      </w:r>
    </w:p>
    <w:p w14:paraId="5FEF667C" w14:textId="561DB801"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(m) any other commercial, financial, technical, operational, legal, regulatory, investment-related, ownership-related, governance-related, renewable-energy-related, strategic, or proprietary information disclosed in connection with the Co-Investment Arrangement.</w:t>
      </w:r>
    </w:p>
    <w:p w14:paraId="7E3B8640" w14:textId="77777777" w:rsidR="00124CFB" w:rsidRPr="00124CFB" w:rsidRDefault="00124CFB" w:rsidP="00124CFB">
      <w:pPr>
        <w:jc w:val="both"/>
        <w:rPr>
          <w:rFonts w:ascii="Times New Roman" w:hAnsi="Times New Roman" w:cs="Times New Roman"/>
          <w:b/>
          <w:bCs/>
          <w:color w:val="156082" w:themeColor="accent1"/>
        </w:rPr>
      </w:pPr>
      <w:r w:rsidRPr="00124CFB">
        <w:rPr>
          <w:rFonts w:ascii="Times New Roman" w:hAnsi="Times New Roman" w:cs="Times New Roman"/>
          <w:b/>
          <w:bCs/>
          <w:color w:val="156082" w:themeColor="accent1"/>
        </w:rPr>
        <w:t>E. OPTIONAL INTRODUCED CONTACTS DATASET</w:t>
      </w:r>
    </w:p>
    <w:p w14:paraId="4C9A31F8"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Infrastructure Funds</w:t>
      </w:r>
    </w:p>
    <w:p w14:paraId="527BE683"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Private Equity Funds</w:t>
      </w:r>
    </w:p>
    <w:p w14:paraId="76470D3F"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Pension Funds</w:t>
      </w:r>
    </w:p>
    <w:p w14:paraId="1ED42C0A"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Sovereign Wealth Funds</w:t>
      </w:r>
    </w:p>
    <w:p w14:paraId="4CAA42BD"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Institutional Investors</w:t>
      </w:r>
    </w:p>
    <w:p w14:paraId="3ACF34F6"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Strategic Investors</w:t>
      </w:r>
    </w:p>
    <w:p w14:paraId="3A2F9536"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Family Offices</w:t>
      </w:r>
    </w:p>
    <w:p w14:paraId="4E7C1C45"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Project Developers</w:t>
      </w:r>
    </w:p>
    <w:p w14:paraId="0A55733D"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Project Owners</w:t>
      </w:r>
    </w:p>
    <w:p w14:paraId="0B329B6B"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Portfolio Owners</w:t>
      </w:r>
    </w:p>
    <w:p w14:paraId="2F810A73"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Asset Managers</w:t>
      </w:r>
    </w:p>
    <w:p w14:paraId="047AA88F"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Investment Bankers</w:t>
      </w:r>
    </w:p>
    <w:p w14:paraId="70A13410"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Financial Advisors</w:t>
      </w:r>
    </w:p>
    <w:p w14:paraId="735739E7"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Legal Advisors</w:t>
      </w:r>
    </w:p>
    <w:p w14:paraId="745548ED"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Technical Advisors</w:t>
      </w:r>
    </w:p>
    <w:p w14:paraId="06DBAF9A"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Independent Engineers</w:t>
      </w:r>
    </w:p>
    <w:p w14:paraId="34EC5208"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Lenders</w:t>
      </w:r>
    </w:p>
    <w:p w14:paraId="6913C163"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Banks</w:t>
      </w:r>
    </w:p>
    <w:p w14:paraId="35EEF3EB"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Government Authorities</w:t>
      </w:r>
    </w:p>
    <w:p w14:paraId="2B104900"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Regulatory Authorities</w:t>
      </w:r>
    </w:p>
    <w:p w14:paraId="2ACD5B8B" w14:textId="77777777" w:rsidR="00124CFB" w:rsidRPr="00124CFB" w:rsidRDefault="00124CFB" w:rsidP="00124CFB">
      <w:pPr>
        <w:jc w:val="both"/>
        <w:rPr>
          <w:rFonts w:ascii="Times New Roman" w:hAnsi="Times New Roman" w:cs="Times New Roman"/>
          <w:color w:val="156082" w:themeColor="accent1"/>
        </w:rPr>
      </w:pPr>
      <w:r w:rsidRPr="00124CFB">
        <w:rPr>
          <w:rFonts w:ascii="Times New Roman" w:hAnsi="Times New Roman" w:cs="Times New Roman"/>
          <w:color w:val="156082" w:themeColor="accent1"/>
        </w:rPr>
        <w:t>Strategic Partners</w:t>
      </w:r>
    </w:p>
    <w:p w14:paraId="0AB94AD4" w14:textId="77777777" w:rsidR="00124CFB" w:rsidRPr="00124CFB" w:rsidRDefault="00124CFB" w:rsidP="00124CFB">
      <w:pPr>
        <w:jc w:val="both"/>
        <w:rPr>
          <w:rFonts w:ascii="Times New Roman" w:hAnsi="Times New Roman" w:cs="Times New Roman"/>
          <w:color w:val="156082" w:themeColor="accent1"/>
        </w:rPr>
      </w:pPr>
    </w:p>
    <w:sectPr w:rsidR="00124CFB" w:rsidRPr="00124C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CFB"/>
    <w:rsid w:val="00124CFB"/>
    <w:rsid w:val="00B07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0AF66"/>
  <w15:chartTrackingRefBased/>
  <w15:docId w15:val="{27F6E423-0251-4B41-B787-A98340509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CFB"/>
    <w:rPr>
      <w:rFonts w:eastAsiaTheme="majorEastAsia" w:cstheme="majorBidi"/>
      <w:color w:val="272727" w:themeColor="text1" w:themeTint="D8"/>
    </w:rPr>
  </w:style>
  <w:style w:type="paragraph" w:styleId="Title">
    <w:name w:val="Title"/>
    <w:basedOn w:val="Normal"/>
    <w:next w:val="Normal"/>
    <w:link w:val="TitleChar"/>
    <w:uiPriority w:val="10"/>
    <w:qFormat/>
    <w:rsid w:val="0012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CFB"/>
    <w:pPr>
      <w:spacing w:before="160"/>
      <w:jc w:val="center"/>
    </w:pPr>
    <w:rPr>
      <w:i/>
      <w:iCs/>
      <w:color w:val="404040" w:themeColor="text1" w:themeTint="BF"/>
    </w:rPr>
  </w:style>
  <w:style w:type="character" w:customStyle="1" w:styleId="QuoteChar">
    <w:name w:val="Quote Char"/>
    <w:basedOn w:val="DefaultParagraphFont"/>
    <w:link w:val="Quote"/>
    <w:uiPriority w:val="29"/>
    <w:rsid w:val="00124CFB"/>
    <w:rPr>
      <w:i/>
      <w:iCs/>
      <w:color w:val="404040" w:themeColor="text1" w:themeTint="BF"/>
    </w:rPr>
  </w:style>
  <w:style w:type="paragraph" w:styleId="ListParagraph">
    <w:name w:val="List Paragraph"/>
    <w:basedOn w:val="Normal"/>
    <w:uiPriority w:val="34"/>
    <w:qFormat/>
    <w:rsid w:val="00124CFB"/>
    <w:pPr>
      <w:ind w:left="720"/>
      <w:contextualSpacing/>
    </w:pPr>
  </w:style>
  <w:style w:type="character" w:styleId="IntenseEmphasis">
    <w:name w:val="Intense Emphasis"/>
    <w:basedOn w:val="DefaultParagraphFont"/>
    <w:uiPriority w:val="21"/>
    <w:qFormat/>
    <w:rsid w:val="00124CFB"/>
    <w:rPr>
      <w:i/>
      <w:iCs/>
      <w:color w:val="0F4761" w:themeColor="accent1" w:themeShade="BF"/>
    </w:rPr>
  </w:style>
  <w:style w:type="paragraph" w:styleId="IntenseQuote">
    <w:name w:val="Intense Quote"/>
    <w:basedOn w:val="Normal"/>
    <w:next w:val="Normal"/>
    <w:link w:val="IntenseQuoteChar"/>
    <w:uiPriority w:val="30"/>
    <w:qFormat/>
    <w:rsid w:val="0012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CFB"/>
    <w:rPr>
      <w:i/>
      <w:iCs/>
      <w:color w:val="0F4761" w:themeColor="accent1" w:themeShade="BF"/>
    </w:rPr>
  </w:style>
  <w:style w:type="character" w:styleId="IntenseReference">
    <w:name w:val="Intense Reference"/>
    <w:basedOn w:val="DefaultParagraphFont"/>
    <w:uiPriority w:val="32"/>
    <w:qFormat/>
    <w:rsid w:val="00124C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842</Words>
  <Characters>4801</Characters>
  <Application>Microsoft Office Word</Application>
  <DocSecurity>0</DocSecurity>
  <Lines>40</Lines>
  <Paragraphs>11</Paragraphs>
  <ScaleCrop>false</ScaleCrop>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2026-06-11T05:51:00Z</dcterms:created>
  <dcterms:modified xsi:type="dcterms:W3CDTF">2026-06-11T05:53:00Z</dcterms:modified>
</cp:coreProperties>
</file>