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450B0" w14:textId="77777777" w:rsidR="006D3893" w:rsidRPr="006D3893" w:rsidRDefault="006D3893" w:rsidP="006D3893">
      <w:pPr>
        <w:jc w:val="center"/>
        <w:rPr>
          <w:rFonts w:ascii="Times New Roman" w:hAnsi="Times New Roman" w:cs="Times New Roman"/>
          <w:b/>
          <w:bCs/>
          <w:color w:val="156082" w:themeColor="accent1"/>
          <w:u w:val="single"/>
        </w:rPr>
      </w:pPr>
      <w:r w:rsidRPr="006D3893">
        <w:rPr>
          <w:rFonts w:ascii="Times New Roman" w:hAnsi="Times New Roman" w:cs="Times New Roman"/>
          <w:b/>
          <w:bCs/>
          <w:color w:val="156082" w:themeColor="accent1"/>
          <w:u w:val="single"/>
        </w:rPr>
        <w:t>RE-27 – MODULE SUPPLY DISCUSSIONS</w:t>
      </w:r>
    </w:p>
    <w:p w14:paraId="061811A9" w14:textId="77777777" w:rsidR="006D3893" w:rsidRPr="006D3893" w:rsidRDefault="006D3893" w:rsidP="006D3893">
      <w:pPr>
        <w:jc w:val="both"/>
        <w:rPr>
          <w:rFonts w:ascii="Times New Roman" w:hAnsi="Times New Roman" w:cs="Times New Roman"/>
          <w:b/>
          <w:bCs/>
          <w:color w:val="156082" w:themeColor="accent1"/>
        </w:rPr>
      </w:pPr>
      <w:r w:rsidRPr="006D3893">
        <w:rPr>
          <w:rFonts w:ascii="Times New Roman" w:hAnsi="Times New Roman" w:cs="Times New Roman"/>
          <w:b/>
          <w:bCs/>
          <w:color w:val="156082" w:themeColor="accent1"/>
        </w:rPr>
        <w:t>A. PURPOSE DEFINITION</w:t>
      </w:r>
    </w:p>
    <w:p w14:paraId="5B45B153" w14:textId="3E085558"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"Purpose" means the evaluation, discussion, negotiation, procurement, supply, purchase, manufacture, delivery, testing, inspection, financing, commercialization, or potential establishment of arrangements relating to solar photovoltaic modules, solar panels, solar cells, module components, or associated solar equipment.</w:t>
      </w:r>
    </w:p>
    <w:p w14:paraId="1BB0ABD3" w14:textId="77777777" w:rsidR="006D3893" w:rsidRPr="006D3893" w:rsidRDefault="006D3893" w:rsidP="006D3893">
      <w:pPr>
        <w:jc w:val="both"/>
        <w:rPr>
          <w:rFonts w:ascii="Times New Roman" w:hAnsi="Times New Roman" w:cs="Times New Roman"/>
          <w:b/>
          <w:bCs/>
          <w:color w:val="156082" w:themeColor="accent1"/>
        </w:rPr>
      </w:pPr>
      <w:r w:rsidRPr="006D3893">
        <w:rPr>
          <w:rFonts w:ascii="Times New Roman" w:hAnsi="Times New Roman" w:cs="Times New Roman"/>
          <w:b/>
          <w:bCs/>
          <w:color w:val="156082" w:themeColor="accent1"/>
        </w:rPr>
        <w:t>B. RECITAL VARIANT</w:t>
      </w:r>
    </w:p>
    <w:p w14:paraId="63BC7BFE" w14:textId="77777777" w:rsidR="006D3893" w:rsidRPr="006D3893" w:rsidRDefault="006D3893" w:rsidP="006D3893">
      <w:pPr>
        <w:jc w:val="both"/>
        <w:rPr>
          <w:rFonts w:ascii="Times New Roman" w:hAnsi="Times New Roman" w:cs="Times New Roman"/>
          <w:color w:val="156082" w:themeColor="accent1"/>
        </w:rPr>
      </w:pPr>
      <w:proofErr w:type="gramStart"/>
      <w:r w:rsidRPr="006D3893">
        <w:rPr>
          <w:rFonts w:ascii="Times New Roman" w:hAnsi="Times New Roman" w:cs="Times New Roman"/>
          <w:color w:val="156082" w:themeColor="accent1"/>
        </w:rPr>
        <w:t>WHEREAS,</w:t>
      </w:r>
      <w:proofErr w:type="gramEnd"/>
      <w:r w:rsidRPr="006D3893">
        <w:rPr>
          <w:rFonts w:ascii="Times New Roman" w:hAnsi="Times New Roman" w:cs="Times New Roman"/>
          <w:color w:val="156082" w:themeColor="accent1"/>
        </w:rPr>
        <w:t xml:space="preserve"> the Parties desire to evaluate and discuss one or more solar module supply opportunities, procurement arrangements, manufacturing opportunities, sourcing arrangements, or related commercial relationships;</w:t>
      </w:r>
    </w:p>
    <w:p w14:paraId="50ED9DE8"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WHEREAS, in connection with such discussions, evaluations, technical assessments, commercial negotiations, procurement activities, and transaction discussions, the Parties may disclose and exchange confidential commercial, financial, technical, operational, manufacturing-related, procurement-related, and proprietary information;</w:t>
      </w:r>
    </w:p>
    <w:p w14:paraId="29A9A6A6" w14:textId="13CD80B5" w:rsidR="006D3893" w:rsidRPr="006D3893" w:rsidRDefault="006D3893" w:rsidP="006D3893">
      <w:pPr>
        <w:jc w:val="both"/>
        <w:rPr>
          <w:rFonts w:ascii="Times New Roman" w:hAnsi="Times New Roman" w:cs="Times New Roman"/>
          <w:color w:val="156082" w:themeColor="accent1"/>
        </w:rPr>
      </w:pPr>
      <w:proofErr w:type="gramStart"/>
      <w:r w:rsidRPr="006D3893">
        <w:rPr>
          <w:rFonts w:ascii="Times New Roman" w:hAnsi="Times New Roman" w:cs="Times New Roman"/>
          <w:color w:val="156082" w:themeColor="accent1"/>
        </w:rPr>
        <w:t>WHEREAS,</w:t>
      </w:r>
      <w:proofErr w:type="gramEnd"/>
      <w:r w:rsidRPr="006D3893">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6C6AEE24" w14:textId="77777777" w:rsidR="006D3893" w:rsidRPr="006D3893" w:rsidRDefault="006D3893" w:rsidP="006D3893">
      <w:pPr>
        <w:jc w:val="both"/>
        <w:rPr>
          <w:rFonts w:ascii="Times New Roman" w:hAnsi="Times New Roman" w:cs="Times New Roman"/>
          <w:b/>
          <w:bCs/>
          <w:color w:val="156082" w:themeColor="accent1"/>
        </w:rPr>
      </w:pPr>
      <w:r w:rsidRPr="006D3893">
        <w:rPr>
          <w:rFonts w:ascii="Times New Roman" w:hAnsi="Times New Roman" w:cs="Times New Roman"/>
          <w:b/>
          <w:bCs/>
          <w:color w:val="156082" w:themeColor="accent1"/>
        </w:rPr>
        <w:t>C. ADDITIONAL DEFINITIONS</w:t>
      </w:r>
    </w:p>
    <w:p w14:paraId="5D3ED1FD" w14:textId="77777777" w:rsidR="006D3893" w:rsidRPr="006D3893" w:rsidRDefault="006D3893" w:rsidP="006D3893">
      <w:pPr>
        <w:numPr>
          <w:ilvl w:val="0"/>
          <w:numId w:val="1"/>
        </w:numPr>
        <w:tabs>
          <w:tab w:val="clear" w:pos="360"/>
          <w:tab w:val="num" w:pos="720"/>
        </w:tabs>
        <w:jc w:val="both"/>
        <w:rPr>
          <w:rFonts w:ascii="Times New Roman" w:hAnsi="Times New Roman" w:cs="Times New Roman"/>
          <w:b/>
          <w:bCs/>
          <w:color w:val="156082" w:themeColor="accent1"/>
        </w:rPr>
      </w:pPr>
      <w:r w:rsidRPr="006D3893">
        <w:rPr>
          <w:rFonts w:ascii="Times New Roman" w:hAnsi="Times New Roman" w:cs="Times New Roman"/>
          <w:b/>
          <w:bCs/>
          <w:color w:val="156082" w:themeColor="accent1"/>
        </w:rPr>
        <w:t>Solar Module</w:t>
      </w:r>
    </w:p>
    <w:p w14:paraId="4E0ABAF0"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 xml:space="preserve">"Solar Module" means any photovoltaic module, solar panel, photovoltaic assembly, solar cell module, bifacial module, </w:t>
      </w:r>
      <w:proofErr w:type="spellStart"/>
      <w:r w:rsidRPr="006D3893">
        <w:rPr>
          <w:rFonts w:ascii="Times New Roman" w:hAnsi="Times New Roman" w:cs="Times New Roman"/>
          <w:color w:val="156082" w:themeColor="accent1"/>
        </w:rPr>
        <w:t>monofacial</w:t>
      </w:r>
      <w:proofErr w:type="spellEnd"/>
      <w:r w:rsidRPr="006D3893">
        <w:rPr>
          <w:rFonts w:ascii="Times New Roman" w:hAnsi="Times New Roman" w:cs="Times New Roman"/>
          <w:color w:val="156082" w:themeColor="accent1"/>
        </w:rPr>
        <w:t xml:space="preserve"> module, thin-film module, </w:t>
      </w:r>
      <w:proofErr w:type="spellStart"/>
      <w:r w:rsidRPr="006D3893">
        <w:rPr>
          <w:rFonts w:ascii="Times New Roman" w:hAnsi="Times New Roman" w:cs="Times New Roman"/>
          <w:color w:val="156082" w:themeColor="accent1"/>
        </w:rPr>
        <w:t>TOPCon</w:t>
      </w:r>
      <w:proofErr w:type="spellEnd"/>
      <w:r w:rsidRPr="006D3893">
        <w:rPr>
          <w:rFonts w:ascii="Times New Roman" w:hAnsi="Times New Roman" w:cs="Times New Roman"/>
          <w:color w:val="156082" w:themeColor="accent1"/>
        </w:rPr>
        <w:t xml:space="preserve"> module, HJT module, or related solar generation equipment.</w:t>
      </w:r>
    </w:p>
    <w:p w14:paraId="0CB275D6" w14:textId="77777777" w:rsidR="006D3893" w:rsidRPr="006D3893" w:rsidRDefault="006D3893" w:rsidP="006D3893">
      <w:pPr>
        <w:numPr>
          <w:ilvl w:val="0"/>
          <w:numId w:val="2"/>
        </w:numPr>
        <w:tabs>
          <w:tab w:val="clear" w:pos="360"/>
          <w:tab w:val="num" w:pos="720"/>
        </w:tabs>
        <w:jc w:val="both"/>
        <w:rPr>
          <w:rFonts w:ascii="Times New Roman" w:hAnsi="Times New Roman" w:cs="Times New Roman"/>
          <w:b/>
          <w:bCs/>
          <w:color w:val="156082" w:themeColor="accent1"/>
        </w:rPr>
      </w:pPr>
      <w:r w:rsidRPr="006D3893">
        <w:rPr>
          <w:rFonts w:ascii="Times New Roman" w:hAnsi="Times New Roman" w:cs="Times New Roman"/>
          <w:b/>
          <w:bCs/>
          <w:color w:val="156082" w:themeColor="accent1"/>
        </w:rPr>
        <w:t>Module Information</w:t>
      </w:r>
    </w:p>
    <w:p w14:paraId="355F54C1"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"Module Information" means information relating to module specifications, module technologies, manufacturing processes, module performance, testing results, warranties, certifications, and quality standards.</w:t>
      </w:r>
    </w:p>
    <w:p w14:paraId="25434AEE" w14:textId="77777777" w:rsidR="006D3893" w:rsidRPr="006D3893" w:rsidRDefault="006D3893" w:rsidP="006D3893">
      <w:pPr>
        <w:numPr>
          <w:ilvl w:val="0"/>
          <w:numId w:val="3"/>
        </w:numPr>
        <w:tabs>
          <w:tab w:val="clear" w:pos="360"/>
          <w:tab w:val="num" w:pos="720"/>
        </w:tabs>
        <w:jc w:val="both"/>
        <w:rPr>
          <w:rFonts w:ascii="Times New Roman" w:hAnsi="Times New Roman" w:cs="Times New Roman"/>
          <w:b/>
          <w:bCs/>
          <w:color w:val="156082" w:themeColor="accent1"/>
        </w:rPr>
      </w:pPr>
      <w:r w:rsidRPr="006D3893">
        <w:rPr>
          <w:rFonts w:ascii="Times New Roman" w:hAnsi="Times New Roman" w:cs="Times New Roman"/>
          <w:b/>
          <w:bCs/>
          <w:color w:val="156082" w:themeColor="accent1"/>
        </w:rPr>
        <w:t>Procurement Information</w:t>
      </w:r>
    </w:p>
    <w:p w14:paraId="219E45A2"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"Procurement Information" means information relating to sourcing strategies, supplier evaluations, procurement plans, delivery schedules, logistics arrangements, and commercial supply arrangements.</w:t>
      </w:r>
    </w:p>
    <w:p w14:paraId="4FE22208" w14:textId="77777777" w:rsidR="006D3893" w:rsidRPr="006D3893" w:rsidRDefault="006D3893" w:rsidP="006D3893">
      <w:pPr>
        <w:numPr>
          <w:ilvl w:val="0"/>
          <w:numId w:val="4"/>
        </w:numPr>
        <w:tabs>
          <w:tab w:val="clear" w:pos="360"/>
          <w:tab w:val="num" w:pos="720"/>
        </w:tabs>
        <w:jc w:val="both"/>
        <w:rPr>
          <w:rFonts w:ascii="Times New Roman" w:hAnsi="Times New Roman" w:cs="Times New Roman"/>
          <w:b/>
          <w:bCs/>
          <w:color w:val="156082" w:themeColor="accent1"/>
        </w:rPr>
      </w:pPr>
      <w:r w:rsidRPr="006D3893">
        <w:rPr>
          <w:rFonts w:ascii="Times New Roman" w:hAnsi="Times New Roman" w:cs="Times New Roman"/>
          <w:b/>
          <w:bCs/>
          <w:color w:val="156082" w:themeColor="accent1"/>
        </w:rPr>
        <w:t>Technical Specifications</w:t>
      </w:r>
    </w:p>
    <w:p w14:paraId="31406001"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"Technical Specifications" means module ratings, efficiency metrics, degradation characteristics, electrical parameters, mechanical parameters, certifications, testing standards, and performance guarantees.</w:t>
      </w:r>
    </w:p>
    <w:p w14:paraId="0DAFCAB4" w14:textId="77777777" w:rsidR="006D3893" w:rsidRPr="006D3893" w:rsidRDefault="006D3893" w:rsidP="006D3893">
      <w:pPr>
        <w:numPr>
          <w:ilvl w:val="0"/>
          <w:numId w:val="5"/>
        </w:numPr>
        <w:tabs>
          <w:tab w:val="clear" w:pos="360"/>
          <w:tab w:val="num" w:pos="720"/>
        </w:tabs>
        <w:jc w:val="both"/>
        <w:rPr>
          <w:rFonts w:ascii="Times New Roman" w:hAnsi="Times New Roman" w:cs="Times New Roman"/>
          <w:b/>
          <w:bCs/>
          <w:color w:val="156082" w:themeColor="accent1"/>
        </w:rPr>
      </w:pPr>
      <w:r w:rsidRPr="006D3893">
        <w:rPr>
          <w:rFonts w:ascii="Times New Roman" w:hAnsi="Times New Roman" w:cs="Times New Roman"/>
          <w:b/>
          <w:bCs/>
          <w:color w:val="156082" w:themeColor="accent1"/>
        </w:rPr>
        <w:t>Supply Information</w:t>
      </w:r>
    </w:p>
    <w:p w14:paraId="2C0001AE"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lastRenderedPageBreak/>
        <w:t>"Supply Information" means information relating to manufacturing capacity, production schedules, inventory levels, delivery capabilities, logistics arrangements, and supply commitments.</w:t>
      </w:r>
    </w:p>
    <w:p w14:paraId="174D4316" w14:textId="77777777" w:rsidR="006D3893" w:rsidRPr="006D3893" w:rsidRDefault="006D3893" w:rsidP="006D3893">
      <w:pPr>
        <w:numPr>
          <w:ilvl w:val="0"/>
          <w:numId w:val="6"/>
        </w:numPr>
        <w:tabs>
          <w:tab w:val="clear" w:pos="360"/>
          <w:tab w:val="num" w:pos="720"/>
        </w:tabs>
        <w:jc w:val="both"/>
        <w:rPr>
          <w:rFonts w:ascii="Times New Roman" w:hAnsi="Times New Roman" w:cs="Times New Roman"/>
          <w:b/>
          <w:bCs/>
          <w:color w:val="156082" w:themeColor="accent1"/>
        </w:rPr>
      </w:pPr>
      <w:r w:rsidRPr="006D3893">
        <w:rPr>
          <w:rFonts w:ascii="Times New Roman" w:hAnsi="Times New Roman" w:cs="Times New Roman"/>
          <w:b/>
          <w:bCs/>
          <w:color w:val="156082" w:themeColor="accent1"/>
        </w:rPr>
        <w:t>Supply Documentation</w:t>
      </w:r>
    </w:p>
    <w:p w14:paraId="224DD240" w14:textId="5F1D711F"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"Supply Documentation" means quotations, technical datasheets, specifications, quality reports, inspection reports, supply agreements, purchase orders, warranty documents, and related documentation.</w:t>
      </w:r>
    </w:p>
    <w:p w14:paraId="1E87B300" w14:textId="77777777" w:rsidR="006D3893" w:rsidRPr="006D3893" w:rsidRDefault="006D3893" w:rsidP="006D3893">
      <w:pPr>
        <w:jc w:val="both"/>
        <w:rPr>
          <w:rFonts w:ascii="Times New Roman" w:hAnsi="Times New Roman" w:cs="Times New Roman"/>
          <w:b/>
          <w:bCs/>
          <w:color w:val="156082" w:themeColor="accent1"/>
        </w:rPr>
      </w:pPr>
      <w:r w:rsidRPr="006D3893">
        <w:rPr>
          <w:rFonts w:ascii="Times New Roman" w:hAnsi="Times New Roman" w:cs="Times New Roman"/>
          <w:b/>
          <w:bCs/>
          <w:color w:val="156082" w:themeColor="accent1"/>
        </w:rPr>
        <w:t>D. CONFIDENTIAL INFORMATION EXPANSION</w:t>
      </w:r>
    </w:p>
    <w:p w14:paraId="56EAC0FE"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Without limitation, Confidential Information includes:</w:t>
      </w:r>
    </w:p>
    <w:p w14:paraId="06FAC0BF"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(a) module specifications, module technologies, cell technologies, module designs, manufacturing methodologies, and product development information;</w:t>
      </w:r>
    </w:p>
    <w:p w14:paraId="5CC10526"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(b) module efficiency data, degradation analyses, performance guarantees, reliability studies, testing reports, certification reports, and quality assessments;</w:t>
      </w:r>
    </w:p>
    <w:p w14:paraId="73EF719F"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(c) manufacturing capacities, production plans, production schedules, inventory information, factory information, and supply chain information;</w:t>
      </w:r>
    </w:p>
    <w:p w14:paraId="43E6D367"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(d) pricing information, quotations, commercial proposals, procurement strategies, discount structures, rebate arrangements, and commercial assessments;</w:t>
      </w:r>
    </w:p>
    <w:p w14:paraId="0948ECF7"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(e) supplier evaluations, technical assessments, vendor qualifications, quality audits, manufacturing audits, and due diligence reports;</w:t>
      </w:r>
    </w:p>
    <w:p w14:paraId="4DB76B57"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(f) logistics arrangements, transportation plans, shipping schedules, warehousing arrangements, delivery schedules, and supply coordination activities;</w:t>
      </w:r>
    </w:p>
    <w:p w14:paraId="109DB782"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(g) warranty information, product guarantees, replacement obligations, defect analyses, claims information, and after-sales support arrangements;</w:t>
      </w:r>
    </w:p>
    <w:p w14:paraId="0D95B3F9"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(h) project procurement plans, equipment sourcing plans, procurement budgets, purchasing forecasts, and implementation schedules;</w:t>
      </w:r>
    </w:p>
    <w:p w14:paraId="4325FE58"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w:t>
      </w:r>
      <w:proofErr w:type="spellStart"/>
      <w:r w:rsidRPr="006D3893">
        <w:rPr>
          <w:rFonts w:ascii="Times New Roman" w:hAnsi="Times New Roman" w:cs="Times New Roman"/>
          <w:color w:val="156082" w:themeColor="accent1"/>
        </w:rPr>
        <w:t>i</w:t>
      </w:r>
      <w:proofErr w:type="spellEnd"/>
      <w:r w:rsidRPr="006D3893">
        <w:rPr>
          <w:rFonts w:ascii="Times New Roman" w:hAnsi="Times New Roman" w:cs="Times New Roman"/>
          <w:color w:val="156082" w:themeColor="accent1"/>
        </w:rPr>
        <w:t>) financial models, cost analyses, pricing forecasts, procurement assessments, investment evaluations, and supply risk analyses;</w:t>
      </w:r>
    </w:p>
    <w:p w14:paraId="239B5A3A"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(j) regulatory approvals, certifications, testing standards, compliance documentation, product approvals, and governmental correspondence;</w:t>
      </w:r>
    </w:p>
    <w:p w14:paraId="19E117E6"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(k) strategic sourcing plans, long-term supply opportunities, manufacturing partnerships, procurement alliances, and business development initiatives;</w:t>
      </w:r>
    </w:p>
    <w:p w14:paraId="6B5E8833"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(l) transaction negotiations, contract discussions, amendment discussions, extension discussions, and commercial correspondence; and</w:t>
      </w:r>
    </w:p>
    <w:p w14:paraId="11F1B010" w14:textId="4742DFE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lastRenderedPageBreak/>
        <w:t>(m) any other commercial, financial, technical, operational, manufacturing-related, procurement-related, supply-related, solar-related, renewable-energy-related, strategic, or proprietary information disclosed in connection with the Module Supply Arrangement.</w:t>
      </w:r>
    </w:p>
    <w:p w14:paraId="7FFC0F81" w14:textId="77777777" w:rsidR="006D3893" w:rsidRPr="006D3893" w:rsidRDefault="006D3893" w:rsidP="006D3893">
      <w:pPr>
        <w:jc w:val="both"/>
        <w:rPr>
          <w:rFonts w:ascii="Times New Roman" w:hAnsi="Times New Roman" w:cs="Times New Roman"/>
          <w:b/>
          <w:bCs/>
          <w:color w:val="156082" w:themeColor="accent1"/>
        </w:rPr>
      </w:pPr>
      <w:r w:rsidRPr="006D3893">
        <w:rPr>
          <w:rFonts w:ascii="Times New Roman" w:hAnsi="Times New Roman" w:cs="Times New Roman"/>
          <w:b/>
          <w:bCs/>
          <w:color w:val="156082" w:themeColor="accent1"/>
        </w:rPr>
        <w:t>E. OPTIONAL INTRODUCED CONTACTS DATASET</w:t>
      </w:r>
    </w:p>
    <w:p w14:paraId="03EBC2D3"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Module Manufacturers</w:t>
      </w:r>
    </w:p>
    <w:p w14:paraId="069DCEFB"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Solar Cell Manufacturers</w:t>
      </w:r>
    </w:p>
    <w:p w14:paraId="6F1A1ABE"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EPC Contractors</w:t>
      </w:r>
    </w:p>
    <w:p w14:paraId="5780E7A1"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Project Developers</w:t>
      </w:r>
    </w:p>
    <w:p w14:paraId="0742E807"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Project Owners</w:t>
      </w:r>
    </w:p>
    <w:p w14:paraId="2CCC1489"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IPP Operators</w:t>
      </w:r>
    </w:p>
    <w:p w14:paraId="2C3C83E4"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Equipment Distributors</w:t>
      </w:r>
    </w:p>
    <w:p w14:paraId="289C9D8B"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Procurement Consultants</w:t>
      </w:r>
    </w:p>
    <w:p w14:paraId="1B549D90"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Technical Consultants</w:t>
      </w:r>
    </w:p>
    <w:p w14:paraId="182D5C68"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Independent Engineers</w:t>
      </w:r>
    </w:p>
    <w:p w14:paraId="1F3EB303"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Quality Inspectors</w:t>
      </w:r>
    </w:p>
    <w:p w14:paraId="43663A87"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Testing Agencies</w:t>
      </w:r>
    </w:p>
    <w:p w14:paraId="43E02EF9"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Logistics Providers</w:t>
      </w:r>
    </w:p>
    <w:p w14:paraId="0A76EFCF"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Warehousing Providers</w:t>
      </w:r>
    </w:p>
    <w:p w14:paraId="0FDA9A84"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Investors</w:t>
      </w:r>
    </w:p>
    <w:p w14:paraId="506663EA"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Lenders</w:t>
      </w:r>
    </w:p>
    <w:p w14:paraId="0313D710"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Banks</w:t>
      </w:r>
    </w:p>
    <w:p w14:paraId="2B2E2621"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Government Authorities</w:t>
      </w:r>
    </w:p>
    <w:p w14:paraId="24798500"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Certification Agencies</w:t>
      </w:r>
    </w:p>
    <w:p w14:paraId="64F026A4"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Regulatory Authorities</w:t>
      </w:r>
    </w:p>
    <w:p w14:paraId="6C075304" w14:textId="77777777" w:rsidR="006D3893" w:rsidRPr="006D3893" w:rsidRDefault="006D3893" w:rsidP="006D3893">
      <w:pPr>
        <w:jc w:val="both"/>
        <w:rPr>
          <w:rFonts w:ascii="Times New Roman" w:hAnsi="Times New Roman" w:cs="Times New Roman"/>
          <w:color w:val="156082" w:themeColor="accent1"/>
        </w:rPr>
      </w:pPr>
      <w:r w:rsidRPr="006D3893">
        <w:rPr>
          <w:rFonts w:ascii="Times New Roman" w:hAnsi="Times New Roman" w:cs="Times New Roman"/>
          <w:color w:val="156082" w:themeColor="accent1"/>
        </w:rPr>
        <w:t>Strategic Partners</w:t>
      </w:r>
    </w:p>
    <w:p w14:paraId="47AE15CD" w14:textId="77777777" w:rsidR="006D3893" w:rsidRPr="006D3893" w:rsidRDefault="006D3893" w:rsidP="006D3893">
      <w:pPr>
        <w:jc w:val="both"/>
        <w:rPr>
          <w:rFonts w:ascii="Times New Roman" w:hAnsi="Times New Roman" w:cs="Times New Roman"/>
          <w:color w:val="156082" w:themeColor="accent1"/>
        </w:rPr>
      </w:pPr>
    </w:p>
    <w:sectPr w:rsidR="006D3893" w:rsidRPr="006D3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417"/>
    <w:multiLevelType w:val="multilevel"/>
    <w:tmpl w:val="0DD6187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4431F34"/>
    <w:multiLevelType w:val="multilevel"/>
    <w:tmpl w:val="68CA8BB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C182746"/>
    <w:multiLevelType w:val="multilevel"/>
    <w:tmpl w:val="AF746CAC"/>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DDD7BD8"/>
    <w:multiLevelType w:val="multilevel"/>
    <w:tmpl w:val="B6DCA24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A806F92"/>
    <w:multiLevelType w:val="multilevel"/>
    <w:tmpl w:val="174897A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E41512D"/>
    <w:multiLevelType w:val="multilevel"/>
    <w:tmpl w:val="D578065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113091213">
    <w:abstractNumId w:val="3"/>
  </w:num>
  <w:num w:numId="2" w16cid:durableId="2080442895">
    <w:abstractNumId w:val="5"/>
  </w:num>
  <w:num w:numId="3" w16cid:durableId="358744664">
    <w:abstractNumId w:val="1"/>
  </w:num>
  <w:num w:numId="4" w16cid:durableId="1165123012">
    <w:abstractNumId w:val="2"/>
  </w:num>
  <w:num w:numId="5" w16cid:durableId="789858426">
    <w:abstractNumId w:val="0"/>
  </w:num>
  <w:num w:numId="6" w16cid:durableId="5301866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893"/>
    <w:rsid w:val="000A7ED5"/>
    <w:rsid w:val="006D38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0DD3"/>
  <w15:chartTrackingRefBased/>
  <w15:docId w15:val="{56A6AFB6-7539-494A-8600-2A2ABC669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8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8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8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8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8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8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8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8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8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8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893"/>
    <w:rPr>
      <w:rFonts w:eastAsiaTheme="majorEastAsia" w:cstheme="majorBidi"/>
      <w:color w:val="272727" w:themeColor="text1" w:themeTint="D8"/>
    </w:rPr>
  </w:style>
  <w:style w:type="paragraph" w:styleId="Title">
    <w:name w:val="Title"/>
    <w:basedOn w:val="Normal"/>
    <w:next w:val="Normal"/>
    <w:link w:val="TitleChar"/>
    <w:uiPriority w:val="10"/>
    <w:qFormat/>
    <w:rsid w:val="006D3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893"/>
    <w:pPr>
      <w:spacing w:before="160"/>
      <w:jc w:val="center"/>
    </w:pPr>
    <w:rPr>
      <w:i/>
      <w:iCs/>
      <w:color w:val="404040" w:themeColor="text1" w:themeTint="BF"/>
    </w:rPr>
  </w:style>
  <w:style w:type="character" w:customStyle="1" w:styleId="QuoteChar">
    <w:name w:val="Quote Char"/>
    <w:basedOn w:val="DefaultParagraphFont"/>
    <w:link w:val="Quote"/>
    <w:uiPriority w:val="29"/>
    <w:rsid w:val="006D3893"/>
    <w:rPr>
      <w:i/>
      <w:iCs/>
      <w:color w:val="404040" w:themeColor="text1" w:themeTint="BF"/>
    </w:rPr>
  </w:style>
  <w:style w:type="paragraph" w:styleId="ListParagraph">
    <w:name w:val="List Paragraph"/>
    <w:basedOn w:val="Normal"/>
    <w:uiPriority w:val="34"/>
    <w:qFormat/>
    <w:rsid w:val="006D3893"/>
    <w:pPr>
      <w:ind w:left="720"/>
      <w:contextualSpacing/>
    </w:pPr>
  </w:style>
  <w:style w:type="character" w:styleId="IntenseEmphasis">
    <w:name w:val="Intense Emphasis"/>
    <w:basedOn w:val="DefaultParagraphFont"/>
    <w:uiPriority w:val="21"/>
    <w:qFormat/>
    <w:rsid w:val="006D3893"/>
    <w:rPr>
      <w:i/>
      <w:iCs/>
      <w:color w:val="0F4761" w:themeColor="accent1" w:themeShade="BF"/>
    </w:rPr>
  </w:style>
  <w:style w:type="paragraph" w:styleId="IntenseQuote">
    <w:name w:val="Intense Quote"/>
    <w:basedOn w:val="Normal"/>
    <w:next w:val="Normal"/>
    <w:link w:val="IntenseQuoteChar"/>
    <w:uiPriority w:val="30"/>
    <w:qFormat/>
    <w:rsid w:val="006D3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893"/>
    <w:rPr>
      <w:i/>
      <w:iCs/>
      <w:color w:val="0F4761" w:themeColor="accent1" w:themeShade="BF"/>
    </w:rPr>
  </w:style>
  <w:style w:type="character" w:styleId="IntenseReference">
    <w:name w:val="Intense Reference"/>
    <w:basedOn w:val="DefaultParagraphFont"/>
    <w:uiPriority w:val="32"/>
    <w:qFormat/>
    <w:rsid w:val="006D38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742</Words>
  <Characters>4230</Characters>
  <Application>Microsoft Office Word</Application>
  <DocSecurity>0</DocSecurity>
  <Lines>35</Lines>
  <Paragraphs>9</Paragraphs>
  <ScaleCrop>false</ScaleCrop>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2026-06-10T17:03:00Z</dcterms:created>
  <dcterms:modified xsi:type="dcterms:W3CDTF">2026-06-10T17:05:00Z</dcterms:modified>
</cp:coreProperties>
</file>