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FDA4" w14:textId="77777777" w:rsidR="00B73C8A" w:rsidRPr="00B73C8A" w:rsidRDefault="00B73C8A" w:rsidP="00B73C8A">
      <w:pPr>
        <w:jc w:val="center"/>
        <w:rPr>
          <w:rFonts w:ascii="Times New Roman" w:hAnsi="Times New Roman" w:cs="Times New Roman"/>
          <w:b/>
          <w:bCs/>
          <w:color w:val="156082" w:themeColor="accent1"/>
          <w:u w:val="single"/>
        </w:rPr>
      </w:pPr>
      <w:r w:rsidRPr="00B73C8A">
        <w:rPr>
          <w:rFonts w:ascii="Times New Roman" w:hAnsi="Times New Roman" w:cs="Times New Roman"/>
          <w:b/>
          <w:bCs/>
          <w:color w:val="156082" w:themeColor="accent1"/>
          <w:u w:val="single"/>
        </w:rPr>
        <w:t>RE-30 – BATTERY SUPPLY DISCUSSIONS</w:t>
      </w:r>
    </w:p>
    <w:p w14:paraId="39AA5452" w14:textId="77777777" w:rsidR="00B73C8A" w:rsidRPr="00B73C8A" w:rsidRDefault="00B73C8A" w:rsidP="00B73C8A">
      <w:pPr>
        <w:jc w:val="both"/>
        <w:rPr>
          <w:rFonts w:ascii="Times New Roman" w:hAnsi="Times New Roman" w:cs="Times New Roman"/>
          <w:b/>
          <w:bCs/>
          <w:color w:val="156082" w:themeColor="accent1"/>
        </w:rPr>
      </w:pPr>
      <w:r w:rsidRPr="00B73C8A">
        <w:rPr>
          <w:rFonts w:ascii="Times New Roman" w:hAnsi="Times New Roman" w:cs="Times New Roman"/>
          <w:b/>
          <w:bCs/>
          <w:color w:val="156082" w:themeColor="accent1"/>
        </w:rPr>
        <w:t>A. PURPOSE DEFINITION</w:t>
      </w:r>
    </w:p>
    <w:p w14:paraId="5F80D0F2" w14:textId="186E57B8"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"Purpose" means the evaluation, discussion, negotiation, procurement, supply, purchase, manufacture, delivery, testing, inspection, integration, commissioning, operation, maintenance support, financing, commercialization, or potential establishment of arrangements relating to battery cells, battery modules, battery racks, battery containers, battery energy storage systems (BESS), energy storage equipment, or associated storage infrastructure.</w:t>
      </w:r>
    </w:p>
    <w:p w14:paraId="6BDCBE03" w14:textId="77777777" w:rsidR="00B73C8A" w:rsidRPr="00B73C8A" w:rsidRDefault="00B73C8A" w:rsidP="00B73C8A">
      <w:pPr>
        <w:jc w:val="both"/>
        <w:rPr>
          <w:rFonts w:ascii="Times New Roman" w:hAnsi="Times New Roman" w:cs="Times New Roman"/>
          <w:b/>
          <w:bCs/>
          <w:color w:val="156082" w:themeColor="accent1"/>
        </w:rPr>
      </w:pPr>
      <w:r w:rsidRPr="00B73C8A">
        <w:rPr>
          <w:rFonts w:ascii="Times New Roman" w:hAnsi="Times New Roman" w:cs="Times New Roman"/>
          <w:b/>
          <w:bCs/>
          <w:color w:val="156082" w:themeColor="accent1"/>
        </w:rPr>
        <w:t>B. RECITAL VARIANT</w:t>
      </w:r>
    </w:p>
    <w:p w14:paraId="0E725ABA" w14:textId="77777777" w:rsidR="00B73C8A" w:rsidRPr="00B73C8A" w:rsidRDefault="00B73C8A" w:rsidP="00B73C8A">
      <w:pPr>
        <w:jc w:val="both"/>
        <w:rPr>
          <w:rFonts w:ascii="Times New Roman" w:hAnsi="Times New Roman" w:cs="Times New Roman"/>
          <w:color w:val="156082" w:themeColor="accent1"/>
        </w:rPr>
      </w:pPr>
      <w:proofErr w:type="gramStart"/>
      <w:r w:rsidRPr="00B73C8A">
        <w:rPr>
          <w:rFonts w:ascii="Times New Roman" w:hAnsi="Times New Roman" w:cs="Times New Roman"/>
          <w:color w:val="156082" w:themeColor="accent1"/>
        </w:rPr>
        <w:t>WHEREAS,</w:t>
      </w:r>
      <w:proofErr w:type="gramEnd"/>
      <w:r w:rsidRPr="00B73C8A">
        <w:rPr>
          <w:rFonts w:ascii="Times New Roman" w:hAnsi="Times New Roman" w:cs="Times New Roman"/>
          <w:color w:val="156082" w:themeColor="accent1"/>
        </w:rPr>
        <w:t xml:space="preserve"> the Parties desire to evaluate and discuss one or more battery supply opportunities, procurement arrangements, manufacturing opportunities, sourcing arrangements, or related commercial relationships;</w:t>
      </w:r>
    </w:p>
    <w:p w14:paraId="540F38C2"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WHEREAS, in connection with such discussions, evaluations, technical assessments, commercial negotiations, procurement activities, and transaction discussions, the Parties may disclose and exchange confidential commercial, financial, technical, operational, manufacturing-related, procurement-related, and proprietary information;</w:t>
      </w:r>
    </w:p>
    <w:p w14:paraId="36A3C93A" w14:textId="0448F271" w:rsidR="00B73C8A" w:rsidRPr="00B73C8A" w:rsidRDefault="00B73C8A" w:rsidP="00B73C8A">
      <w:pPr>
        <w:jc w:val="both"/>
        <w:rPr>
          <w:rFonts w:ascii="Times New Roman" w:hAnsi="Times New Roman" w:cs="Times New Roman"/>
          <w:color w:val="156082" w:themeColor="accent1"/>
        </w:rPr>
      </w:pPr>
      <w:proofErr w:type="gramStart"/>
      <w:r w:rsidRPr="00B73C8A">
        <w:rPr>
          <w:rFonts w:ascii="Times New Roman" w:hAnsi="Times New Roman" w:cs="Times New Roman"/>
          <w:color w:val="156082" w:themeColor="accent1"/>
        </w:rPr>
        <w:t>WHEREAS,</w:t>
      </w:r>
      <w:proofErr w:type="gramEnd"/>
      <w:r w:rsidRPr="00B73C8A">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446B9395" w14:textId="77777777" w:rsidR="00B73C8A" w:rsidRPr="00B73C8A" w:rsidRDefault="00B73C8A" w:rsidP="00B73C8A">
      <w:pPr>
        <w:jc w:val="both"/>
        <w:rPr>
          <w:rFonts w:ascii="Times New Roman" w:hAnsi="Times New Roman" w:cs="Times New Roman"/>
          <w:b/>
          <w:bCs/>
          <w:color w:val="156082" w:themeColor="accent1"/>
        </w:rPr>
      </w:pPr>
      <w:r w:rsidRPr="00B73C8A">
        <w:rPr>
          <w:rFonts w:ascii="Times New Roman" w:hAnsi="Times New Roman" w:cs="Times New Roman"/>
          <w:b/>
          <w:bCs/>
          <w:color w:val="156082" w:themeColor="accent1"/>
        </w:rPr>
        <w:t>C. ADDITIONAL DEFINITIONS</w:t>
      </w:r>
    </w:p>
    <w:p w14:paraId="6E0988FA" w14:textId="77777777" w:rsidR="00B73C8A" w:rsidRPr="00B73C8A" w:rsidRDefault="00B73C8A" w:rsidP="00B73C8A">
      <w:pPr>
        <w:numPr>
          <w:ilvl w:val="0"/>
          <w:numId w:val="1"/>
        </w:numPr>
        <w:tabs>
          <w:tab w:val="clear" w:pos="360"/>
          <w:tab w:val="num" w:pos="720"/>
        </w:tabs>
        <w:jc w:val="both"/>
        <w:rPr>
          <w:rFonts w:ascii="Times New Roman" w:hAnsi="Times New Roman" w:cs="Times New Roman"/>
          <w:b/>
          <w:bCs/>
          <w:color w:val="156082" w:themeColor="accent1"/>
        </w:rPr>
      </w:pPr>
      <w:r w:rsidRPr="00B73C8A">
        <w:rPr>
          <w:rFonts w:ascii="Times New Roman" w:hAnsi="Times New Roman" w:cs="Times New Roman"/>
          <w:b/>
          <w:bCs/>
          <w:color w:val="156082" w:themeColor="accent1"/>
        </w:rPr>
        <w:t>Battery System</w:t>
      </w:r>
    </w:p>
    <w:p w14:paraId="7ED8D474"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"Battery System" means any battery cell, battery module, battery rack, battery container, battery energy storage system (BESS), energy storage equipment, battery management system (BMS), power conversion system (PCS), energy management system (EMS), or associated storage infrastructure.</w:t>
      </w:r>
    </w:p>
    <w:p w14:paraId="5F5B6D3C" w14:textId="77777777" w:rsidR="00B73C8A" w:rsidRPr="00B73C8A" w:rsidRDefault="00B73C8A" w:rsidP="00B73C8A">
      <w:pPr>
        <w:numPr>
          <w:ilvl w:val="0"/>
          <w:numId w:val="2"/>
        </w:numPr>
        <w:tabs>
          <w:tab w:val="clear" w:pos="360"/>
          <w:tab w:val="num" w:pos="720"/>
        </w:tabs>
        <w:jc w:val="both"/>
        <w:rPr>
          <w:rFonts w:ascii="Times New Roman" w:hAnsi="Times New Roman" w:cs="Times New Roman"/>
          <w:b/>
          <w:bCs/>
          <w:color w:val="156082" w:themeColor="accent1"/>
        </w:rPr>
      </w:pPr>
      <w:r w:rsidRPr="00B73C8A">
        <w:rPr>
          <w:rFonts w:ascii="Times New Roman" w:hAnsi="Times New Roman" w:cs="Times New Roman"/>
          <w:b/>
          <w:bCs/>
          <w:color w:val="156082" w:themeColor="accent1"/>
        </w:rPr>
        <w:t>Battery Information</w:t>
      </w:r>
    </w:p>
    <w:p w14:paraId="517A83D1"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"Battery Information" means information relating to battery chemistry, battery technology, battery specifications, manufacturing processes, degradation characteristics, testing results, warranties, certifications, and quality standards.</w:t>
      </w:r>
    </w:p>
    <w:p w14:paraId="641FCDC7" w14:textId="77777777" w:rsidR="00B73C8A" w:rsidRPr="00B73C8A" w:rsidRDefault="00B73C8A" w:rsidP="00B73C8A">
      <w:pPr>
        <w:numPr>
          <w:ilvl w:val="0"/>
          <w:numId w:val="3"/>
        </w:numPr>
        <w:tabs>
          <w:tab w:val="clear" w:pos="360"/>
          <w:tab w:val="num" w:pos="720"/>
        </w:tabs>
        <w:jc w:val="both"/>
        <w:rPr>
          <w:rFonts w:ascii="Times New Roman" w:hAnsi="Times New Roman" w:cs="Times New Roman"/>
          <w:b/>
          <w:bCs/>
          <w:color w:val="156082" w:themeColor="accent1"/>
        </w:rPr>
      </w:pPr>
      <w:r w:rsidRPr="00B73C8A">
        <w:rPr>
          <w:rFonts w:ascii="Times New Roman" w:hAnsi="Times New Roman" w:cs="Times New Roman"/>
          <w:b/>
          <w:bCs/>
          <w:color w:val="156082" w:themeColor="accent1"/>
        </w:rPr>
        <w:t>Performance Information</w:t>
      </w:r>
    </w:p>
    <w:p w14:paraId="332637DD"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"Performance Information" means information relating to battery capacity, energy throughput, round-trip efficiency, degradation rates, cycle life, availability guarantees, performance guarantees, and operational performance.</w:t>
      </w:r>
    </w:p>
    <w:p w14:paraId="5C39FAB1" w14:textId="77777777" w:rsidR="00B73C8A" w:rsidRPr="00B73C8A" w:rsidRDefault="00B73C8A" w:rsidP="00B73C8A">
      <w:pPr>
        <w:numPr>
          <w:ilvl w:val="0"/>
          <w:numId w:val="4"/>
        </w:numPr>
        <w:tabs>
          <w:tab w:val="clear" w:pos="360"/>
          <w:tab w:val="num" w:pos="720"/>
        </w:tabs>
        <w:jc w:val="both"/>
        <w:rPr>
          <w:rFonts w:ascii="Times New Roman" w:hAnsi="Times New Roman" w:cs="Times New Roman"/>
          <w:b/>
          <w:bCs/>
          <w:color w:val="156082" w:themeColor="accent1"/>
        </w:rPr>
      </w:pPr>
      <w:r w:rsidRPr="00B73C8A">
        <w:rPr>
          <w:rFonts w:ascii="Times New Roman" w:hAnsi="Times New Roman" w:cs="Times New Roman"/>
          <w:b/>
          <w:bCs/>
          <w:color w:val="156082" w:themeColor="accent1"/>
        </w:rPr>
        <w:t>Augmentation Information</w:t>
      </w:r>
    </w:p>
    <w:p w14:paraId="3753373C"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"Augmentation Information" means information relating to battery replacement strategies, augmentation plans, lifecycle management, degradation mitigation measures, capacity restoration plans, and long-term performance management.</w:t>
      </w:r>
    </w:p>
    <w:p w14:paraId="0E7AD7F6" w14:textId="77777777" w:rsidR="00B73C8A" w:rsidRPr="00B73C8A" w:rsidRDefault="00B73C8A" w:rsidP="00B73C8A">
      <w:pPr>
        <w:numPr>
          <w:ilvl w:val="0"/>
          <w:numId w:val="5"/>
        </w:numPr>
        <w:tabs>
          <w:tab w:val="clear" w:pos="360"/>
          <w:tab w:val="num" w:pos="720"/>
        </w:tabs>
        <w:jc w:val="both"/>
        <w:rPr>
          <w:rFonts w:ascii="Times New Roman" w:hAnsi="Times New Roman" w:cs="Times New Roman"/>
          <w:b/>
          <w:bCs/>
          <w:color w:val="156082" w:themeColor="accent1"/>
        </w:rPr>
      </w:pPr>
      <w:r w:rsidRPr="00B73C8A">
        <w:rPr>
          <w:rFonts w:ascii="Times New Roman" w:hAnsi="Times New Roman" w:cs="Times New Roman"/>
          <w:b/>
          <w:bCs/>
          <w:color w:val="156082" w:themeColor="accent1"/>
        </w:rPr>
        <w:lastRenderedPageBreak/>
        <w:t>Safety Information</w:t>
      </w:r>
    </w:p>
    <w:p w14:paraId="19BB9FB5"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"Safety Information" means information relating to thermal management systems, fire protection systems, safety monitoring systems, emergency response procedures, hazard assessments, and operational safety measures.</w:t>
      </w:r>
    </w:p>
    <w:p w14:paraId="4DEAA417" w14:textId="77777777" w:rsidR="00B73C8A" w:rsidRPr="00B73C8A" w:rsidRDefault="00B73C8A" w:rsidP="00B73C8A">
      <w:pPr>
        <w:numPr>
          <w:ilvl w:val="0"/>
          <w:numId w:val="6"/>
        </w:numPr>
        <w:tabs>
          <w:tab w:val="clear" w:pos="360"/>
          <w:tab w:val="num" w:pos="720"/>
        </w:tabs>
        <w:jc w:val="both"/>
        <w:rPr>
          <w:rFonts w:ascii="Times New Roman" w:hAnsi="Times New Roman" w:cs="Times New Roman"/>
          <w:b/>
          <w:bCs/>
          <w:color w:val="156082" w:themeColor="accent1"/>
        </w:rPr>
      </w:pPr>
      <w:r w:rsidRPr="00B73C8A">
        <w:rPr>
          <w:rFonts w:ascii="Times New Roman" w:hAnsi="Times New Roman" w:cs="Times New Roman"/>
          <w:b/>
          <w:bCs/>
          <w:color w:val="156082" w:themeColor="accent1"/>
        </w:rPr>
        <w:t>Supply Documentation</w:t>
      </w:r>
    </w:p>
    <w:p w14:paraId="21D595F9" w14:textId="65F6475B"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"Supply Documentation" means quotations, technical datasheets, specifications, quality reports, inspection reports, supply agreements, purchase orders, warranty documents, augmentation agreements, and related documentation.</w:t>
      </w:r>
    </w:p>
    <w:p w14:paraId="19E73844" w14:textId="77777777" w:rsidR="00B73C8A" w:rsidRPr="00B73C8A" w:rsidRDefault="00B73C8A" w:rsidP="00B73C8A">
      <w:pPr>
        <w:jc w:val="both"/>
        <w:rPr>
          <w:rFonts w:ascii="Times New Roman" w:hAnsi="Times New Roman" w:cs="Times New Roman"/>
          <w:b/>
          <w:bCs/>
          <w:color w:val="156082" w:themeColor="accent1"/>
        </w:rPr>
      </w:pPr>
      <w:r w:rsidRPr="00B73C8A">
        <w:rPr>
          <w:rFonts w:ascii="Times New Roman" w:hAnsi="Times New Roman" w:cs="Times New Roman"/>
          <w:b/>
          <w:bCs/>
          <w:color w:val="156082" w:themeColor="accent1"/>
        </w:rPr>
        <w:t>D. CONFIDENTIAL INFORMATION EXPANSION</w:t>
      </w:r>
    </w:p>
    <w:p w14:paraId="56665521"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Without limitation, Confidential Information includes:</w:t>
      </w:r>
    </w:p>
    <w:p w14:paraId="2EDCB752"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(a) battery chemistry information, cell technologies, module designs, rack configurations, container designs, battery technologies, and product development information;</w:t>
      </w:r>
    </w:p>
    <w:p w14:paraId="64718094"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(b) battery capacity information, energy ratings, power ratings, cycle life assessments, degradation analyses, efficiency studies, and performance evaluations;</w:t>
      </w:r>
    </w:p>
    <w:p w14:paraId="715EAC04"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(c) battery management systems (BMS), energy management systems (EMS), software platforms, control systems, monitoring systems, and operational intelligence information;</w:t>
      </w:r>
    </w:p>
    <w:p w14:paraId="57FA1820"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(d) augmentation plans, battery replacement strategies, lifecycle assessments, degradation mitigation plans, performance restoration strategies, and long-term asset management plans;</w:t>
      </w:r>
    </w:p>
    <w:p w14:paraId="307C7B70"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(e) thermal management systems, cooling systems, fire protection systems, suppression systems, safety protocols, emergency response plans, and hazard assessments;</w:t>
      </w:r>
    </w:p>
    <w:p w14:paraId="32983C2C"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(f) manufacturing capacities, production schedules, factory information, inventory information, supply chain information, sourcing strategies, and logistics capabilities;</w:t>
      </w:r>
    </w:p>
    <w:p w14:paraId="15493E93"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(g) pricing information, quotations, commercial proposals, procurement strategies, discount structures, rebate arrangements, and commercial assessments;</w:t>
      </w:r>
    </w:p>
    <w:p w14:paraId="35F25808"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(h) supplier evaluations, manufacturer assessments, vendor qualifications, factory inspections, manufacturing audits, quality audits, and due diligence reports;</w:t>
      </w:r>
    </w:p>
    <w:p w14:paraId="2D280173"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w:t>
      </w:r>
      <w:proofErr w:type="spellStart"/>
      <w:r w:rsidRPr="00B73C8A">
        <w:rPr>
          <w:rFonts w:ascii="Times New Roman" w:hAnsi="Times New Roman" w:cs="Times New Roman"/>
          <w:color w:val="156082" w:themeColor="accent1"/>
        </w:rPr>
        <w:t>i</w:t>
      </w:r>
      <w:proofErr w:type="spellEnd"/>
      <w:r w:rsidRPr="00B73C8A">
        <w:rPr>
          <w:rFonts w:ascii="Times New Roman" w:hAnsi="Times New Roman" w:cs="Times New Roman"/>
          <w:color w:val="156082" w:themeColor="accent1"/>
        </w:rPr>
        <w:t>) warranty information, performance guarantees, availability guarantees, replacement obligations, service commitments, spare parts strategies, and after-sales support arrangements;</w:t>
      </w:r>
    </w:p>
    <w:p w14:paraId="72CC6ABF"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(j) transportation plans, hazardous goods logistics arrangements, delivery schedules, commissioning schedules, installation plans, and implementation activities;</w:t>
      </w:r>
    </w:p>
    <w:p w14:paraId="272816A7"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(k) financial models, cost analyses, procurement assessments, pricing forecasts, investment evaluations, and supply risk analyses;</w:t>
      </w:r>
    </w:p>
    <w:p w14:paraId="47F9C27C"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(l) regulatory approvals, certifications, testing standards, compliance documentation, product approvals, environmental assessments, and governmental correspondence;</w:t>
      </w:r>
    </w:p>
    <w:p w14:paraId="53A6E344"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lastRenderedPageBreak/>
        <w:t>(m) strategic sourcing plans, long-term supply opportunities, framework agreements, manufacturing partnerships, technology alliances, battery procurement programs, and business development initiatives; and</w:t>
      </w:r>
    </w:p>
    <w:p w14:paraId="1F8CF84F" w14:textId="3C3B7183"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(n) any other commercial, financial, technical, operational, manufacturing-related, procurement-related, supply-related, battery-related, storage-related, BESS-related, renewable-energy-related, strategic, or proprietary information disclosed in connection with the Battery Supply Arrangement.</w:t>
      </w:r>
    </w:p>
    <w:p w14:paraId="7E1EA0D3" w14:textId="77777777" w:rsidR="00B73C8A" w:rsidRPr="00B73C8A" w:rsidRDefault="00B73C8A" w:rsidP="00B73C8A">
      <w:pPr>
        <w:jc w:val="both"/>
        <w:rPr>
          <w:rFonts w:ascii="Times New Roman" w:hAnsi="Times New Roman" w:cs="Times New Roman"/>
          <w:b/>
          <w:bCs/>
          <w:color w:val="156082" w:themeColor="accent1"/>
        </w:rPr>
      </w:pPr>
      <w:r w:rsidRPr="00B73C8A">
        <w:rPr>
          <w:rFonts w:ascii="Times New Roman" w:hAnsi="Times New Roman" w:cs="Times New Roman"/>
          <w:b/>
          <w:bCs/>
          <w:color w:val="156082" w:themeColor="accent1"/>
        </w:rPr>
        <w:t>E. OPTIONAL INTRODUCED CONTACTS DATASET</w:t>
      </w:r>
    </w:p>
    <w:p w14:paraId="780CAC58"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Battery Manufacturers</w:t>
      </w:r>
    </w:p>
    <w:p w14:paraId="193CA92D"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Battery Cell Manufacturers</w:t>
      </w:r>
    </w:p>
    <w:p w14:paraId="4732EAE7"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Battery Integrators</w:t>
      </w:r>
    </w:p>
    <w:p w14:paraId="076A8BAB"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BESS Developers</w:t>
      </w:r>
    </w:p>
    <w:p w14:paraId="1D7CDA3E"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Project Developers</w:t>
      </w:r>
    </w:p>
    <w:p w14:paraId="59CD3C10"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Project Owners</w:t>
      </w:r>
    </w:p>
    <w:p w14:paraId="31860CDA"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EPC Contractors</w:t>
      </w:r>
    </w:p>
    <w:p w14:paraId="7EA7D544"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Technology Providers</w:t>
      </w:r>
    </w:p>
    <w:p w14:paraId="07AD9C40"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BMS Providers</w:t>
      </w:r>
    </w:p>
    <w:p w14:paraId="2A4FF12F"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EMS Providers</w:t>
      </w:r>
    </w:p>
    <w:p w14:paraId="57E458D0"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PCS Manufacturers</w:t>
      </w:r>
    </w:p>
    <w:p w14:paraId="6E2FFB00"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Technical Consultants</w:t>
      </w:r>
    </w:p>
    <w:p w14:paraId="41BD2E3A"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Independent Engineers</w:t>
      </w:r>
    </w:p>
    <w:p w14:paraId="11A35166"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Safety Consultants</w:t>
      </w:r>
    </w:p>
    <w:p w14:paraId="41765FDD"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Quality Inspectors</w:t>
      </w:r>
    </w:p>
    <w:p w14:paraId="754888C2"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Testing Agencies</w:t>
      </w:r>
    </w:p>
    <w:p w14:paraId="7AB374C2"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Logistics Providers</w:t>
      </w:r>
    </w:p>
    <w:p w14:paraId="51932119"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Investors</w:t>
      </w:r>
    </w:p>
    <w:p w14:paraId="1469A835"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Infrastructure Funds</w:t>
      </w:r>
    </w:p>
    <w:p w14:paraId="3466B0DA"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Lenders</w:t>
      </w:r>
    </w:p>
    <w:p w14:paraId="629B6C7E"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Banks</w:t>
      </w:r>
    </w:p>
    <w:p w14:paraId="7F9DFAAE"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Certification Agencies</w:t>
      </w:r>
    </w:p>
    <w:p w14:paraId="6AA6EE67"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t>Regulatory Authorities</w:t>
      </w:r>
    </w:p>
    <w:p w14:paraId="2114D5BD" w14:textId="77777777" w:rsidR="00B73C8A" w:rsidRPr="00B73C8A" w:rsidRDefault="00B73C8A" w:rsidP="00B73C8A">
      <w:pPr>
        <w:jc w:val="both"/>
        <w:rPr>
          <w:rFonts w:ascii="Times New Roman" w:hAnsi="Times New Roman" w:cs="Times New Roman"/>
          <w:color w:val="156082" w:themeColor="accent1"/>
        </w:rPr>
      </w:pPr>
      <w:r w:rsidRPr="00B73C8A">
        <w:rPr>
          <w:rFonts w:ascii="Times New Roman" w:hAnsi="Times New Roman" w:cs="Times New Roman"/>
          <w:color w:val="156082" w:themeColor="accent1"/>
        </w:rPr>
        <w:lastRenderedPageBreak/>
        <w:t>Strategic Partners</w:t>
      </w:r>
    </w:p>
    <w:p w14:paraId="098B9BE7" w14:textId="77777777" w:rsidR="00B73C8A" w:rsidRPr="00B73C8A" w:rsidRDefault="00B73C8A" w:rsidP="00B73C8A">
      <w:pPr>
        <w:jc w:val="both"/>
        <w:rPr>
          <w:rFonts w:ascii="Times New Roman" w:hAnsi="Times New Roman" w:cs="Times New Roman"/>
          <w:color w:val="156082" w:themeColor="accent1"/>
        </w:rPr>
      </w:pPr>
    </w:p>
    <w:sectPr w:rsidR="00B73C8A" w:rsidRPr="00B73C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6AEF"/>
    <w:multiLevelType w:val="multilevel"/>
    <w:tmpl w:val="5388D94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4650CED"/>
    <w:multiLevelType w:val="multilevel"/>
    <w:tmpl w:val="2AA20E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FF23FC7"/>
    <w:multiLevelType w:val="multilevel"/>
    <w:tmpl w:val="C7189C6E"/>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5F73B65"/>
    <w:multiLevelType w:val="multilevel"/>
    <w:tmpl w:val="9B00E0D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4D05A23"/>
    <w:multiLevelType w:val="multilevel"/>
    <w:tmpl w:val="5078A16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ACD0DE9"/>
    <w:multiLevelType w:val="multilevel"/>
    <w:tmpl w:val="8C1C7B36"/>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41610866">
    <w:abstractNumId w:val="1"/>
  </w:num>
  <w:num w:numId="2" w16cid:durableId="977416401">
    <w:abstractNumId w:val="4"/>
  </w:num>
  <w:num w:numId="3" w16cid:durableId="1660616977">
    <w:abstractNumId w:val="0"/>
  </w:num>
  <w:num w:numId="4" w16cid:durableId="356272467">
    <w:abstractNumId w:val="3"/>
  </w:num>
  <w:num w:numId="5" w16cid:durableId="440221930">
    <w:abstractNumId w:val="5"/>
  </w:num>
  <w:num w:numId="6" w16cid:durableId="1469084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8A"/>
    <w:rsid w:val="000A7ED5"/>
    <w:rsid w:val="00B73C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7569"/>
  <w15:chartTrackingRefBased/>
  <w15:docId w15:val="{F7E9729A-A908-436D-AF5F-6C669C1C6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8A"/>
    <w:rPr>
      <w:rFonts w:eastAsiaTheme="majorEastAsia" w:cstheme="majorBidi"/>
      <w:color w:val="272727" w:themeColor="text1" w:themeTint="D8"/>
    </w:rPr>
  </w:style>
  <w:style w:type="paragraph" w:styleId="Title">
    <w:name w:val="Title"/>
    <w:basedOn w:val="Normal"/>
    <w:next w:val="Normal"/>
    <w:link w:val="TitleChar"/>
    <w:uiPriority w:val="10"/>
    <w:qFormat/>
    <w:rsid w:val="00B73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8A"/>
    <w:pPr>
      <w:spacing w:before="160"/>
      <w:jc w:val="center"/>
    </w:pPr>
    <w:rPr>
      <w:i/>
      <w:iCs/>
      <w:color w:val="404040" w:themeColor="text1" w:themeTint="BF"/>
    </w:rPr>
  </w:style>
  <w:style w:type="character" w:customStyle="1" w:styleId="QuoteChar">
    <w:name w:val="Quote Char"/>
    <w:basedOn w:val="DefaultParagraphFont"/>
    <w:link w:val="Quote"/>
    <w:uiPriority w:val="29"/>
    <w:rsid w:val="00B73C8A"/>
    <w:rPr>
      <w:i/>
      <w:iCs/>
      <w:color w:val="404040" w:themeColor="text1" w:themeTint="BF"/>
    </w:rPr>
  </w:style>
  <w:style w:type="paragraph" w:styleId="ListParagraph">
    <w:name w:val="List Paragraph"/>
    <w:basedOn w:val="Normal"/>
    <w:uiPriority w:val="34"/>
    <w:qFormat/>
    <w:rsid w:val="00B73C8A"/>
    <w:pPr>
      <w:ind w:left="720"/>
      <w:contextualSpacing/>
    </w:pPr>
  </w:style>
  <w:style w:type="character" w:styleId="IntenseEmphasis">
    <w:name w:val="Intense Emphasis"/>
    <w:basedOn w:val="DefaultParagraphFont"/>
    <w:uiPriority w:val="21"/>
    <w:qFormat/>
    <w:rsid w:val="00B73C8A"/>
    <w:rPr>
      <w:i/>
      <w:iCs/>
      <w:color w:val="0F4761" w:themeColor="accent1" w:themeShade="BF"/>
    </w:rPr>
  </w:style>
  <w:style w:type="paragraph" w:styleId="IntenseQuote">
    <w:name w:val="Intense Quote"/>
    <w:basedOn w:val="Normal"/>
    <w:next w:val="Normal"/>
    <w:link w:val="IntenseQuoteChar"/>
    <w:uiPriority w:val="30"/>
    <w:qFormat/>
    <w:rsid w:val="00B73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8A"/>
    <w:rPr>
      <w:i/>
      <w:iCs/>
      <w:color w:val="0F4761" w:themeColor="accent1" w:themeShade="BF"/>
    </w:rPr>
  </w:style>
  <w:style w:type="character" w:styleId="IntenseReference">
    <w:name w:val="Intense Reference"/>
    <w:basedOn w:val="DefaultParagraphFont"/>
    <w:uiPriority w:val="32"/>
    <w:qFormat/>
    <w:rsid w:val="00B73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2026-06-10T17:08:00Z</dcterms:created>
  <dcterms:modified xsi:type="dcterms:W3CDTF">2026-06-10T17:10:00Z</dcterms:modified>
</cp:coreProperties>
</file>