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3B069" w14:textId="77777777" w:rsidR="00801657" w:rsidRPr="00801657" w:rsidRDefault="00801657" w:rsidP="00801657">
      <w:pPr>
        <w:jc w:val="center"/>
        <w:rPr>
          <w:rFonts w:ascii="Times New Roman" w:hAnsi="Times New Roman" w:cs="Times New Roman"/>
          <w:b/>
          <w:bCs/>
          <w:color w:val="156082" w:themeColor="accent1"/>
          <w:u w:val="single"/>
        </w:rPr>
      </w:pPr>
      <w:r w:rsidRPr="00801657">
        <w:rPr>
          <w:rFonts w:ascii="Times New Roman" w:hAnsi="Times New Roman" w:cs="Times New Roman"/>
          <w:b/>
          <w:bCs/>
          <w:color w:val="156082" w:themeColor="accent1"/>
          <w:u w:val="single"/>
        </w:rPr>
        <w:t>RE-31 – LONG-TERM SERVICE AGREEMENT (LTSA) DISCUSSIONS</w:t>
      </w:r>
    </w:p>
    <w:p w14:paraId="31F38922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This pack is designed for renewable energy project owners, OEMs, turbine manufacturers, inverter manufacturers, battery suppliers, EPC contractors, O&amp;M contractors, asset managers, investors, and lenders evaluating long-term service arrangements for renewable energy assets.</w:t>
      </w:r>
    </w:p>
    <w:p w14:paraId="52852B24" w14:textId="0F8742AD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LTSA arrangements are particularly common in Wind, BESS, Inverter, and complex renewable infrastructure projects where long-term performance, availability, maintenance, spare parts support, and lifecycle management are critical.</w:t>
      </w:r>
    </w:p>
    <w:p w14:paraId="59D4E209" w14:textId="77777777" w:rsidR="00801657" w:rsidRPr="00801657" w:rsidRDefault="00801657" w:rsidP="00801657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01657">
        <w:rPr>
          <w:rFonts w:ascii="Times New Roman" w:hAnsi="Times New Roman" w:cs="Times New Roman"/>
          <w:b/>
          <w:bCs/>
          <w:color w:val="156082" w:themeColor="accent1"/>
        </w:rPr>
        <w:t>A. PURPOSE DEFINITION</w:t>
      </w:r>
    </w:p>
    <w:p w14:paraId="6043095F" w14:textId="00B9BDB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"Purpose" means the evaluation, discussion, negotiation, structuring, procurement, provision, implementation, operation, maintenance, lifecycle support, performance management, asset optimization, financing, commercialization, or potential establishment of long-term service arrangements, maintenance services, technical support services, asset management services, or related commercial relationships concerning renewable energy assets and associated infrastructure.</w:t>
      </w:r>
    </w:p>
    <w:p w14:paraId="06CB6459" w14:textId="77777777" w:rsidR="00801657" w:rsidRPr="00801657" w:rsidRDefault="00801657" w:rsidP="00801657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01657">
        <w:rPr>
          <w:rFonts w:ascii="Times New Roman" w:hAnsi="Times New Roman" w:cs="Times New Roman"/>
          <w:b/>
          <w:bCs/>
          <w:color w:val="156082" w:themeColor="accent1"/>
        </w:rPr>
        <w:t>B. RECITAL VARIANT</w:t>
      </w:r>
    </w:p>
    <w:p w14:paraId="43D54DD9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proofErr w:type="gramStart"/>
      <w:r w:rsidRPr="00801657">
        <w:rPr>
          <w:rFonts w:ascii="Times New Roman" w:hAnsi="Times New Roman" w:cs="Times New Roman"/>
          <w:color w:val="156082" w:themeColor="accent1"/>
        </w:rPr>
        <w:t>WHEREAS,</w:t>
      </w:r>
      <w:proofErr w:type="gramEnd"/>
      <w:r w:rsidRPr="00801657">
        <w:rPr>
          <w:rFonts w:ascii="Times New Roman" w:hAnsi="Times New Roman" w:cs="Times New Roman"/>
          <w:color w:val="156082" w:themeColor="accent1"/>
        </w:rPr>
        <w:t xml:space="preserve"> the Parties desire to evaluate and discuss one or more long-term service arrangements, maintenance service opportunities, lifecycle support arrangements, asset performance management initiatives, or related commercial relationships concerning renewable energy projects and infrastructure assets;</w:t>
      </w:r>
    </w:p>
    <w:p w14:paraId="69185B6A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WHEREAS, in connection with such discussions, evaluations, technical assessments, commercial negotiations, operational reviews, and transaction discussions, the Parties may disclose and exchange confidential commercial, financial, technical, operational, maintenance-related, service-related, and proprietary information;</w:t>
      </w:r>
    </w:p>
    <w:p w14:paraId="21C00D75" w14:textId="208CA9E6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proofErr w:type="gramStart"/>
      <w:r w:rsidRPr="00801657">
        <w:rPr>
          <w:rFonts w:ascii="Times New Roman" w:hAnsi="Times New Roman" w:cs="Times New Roman"/>
          <w:color w:val="156082" w:themeColor="accent1"/>
        </w:rPr>
        <w:t>WHEREAS,</w:t>
      </w:r>
      <w:proofErr w:type="gramEnd"/>
      <w:r w:rsidRPr="00801657">
        <w:rPr>
          <w:rFonts w:ascii="Times New Roman" w:hAnsi="Times New Roman" w:cs="Times New Roman"/>
          <w:color w:val="156082" w:themeColor="accent1"/>
        </w:rPr>
        <w:t xml:space="preserve"> the Parties wish to establish the terms and conditions governing the disclosure, protection, use, and handling of such Confidential Information.</w:t>
      </w:r>
    </w:p>
    <w:p w14:paraId="5FD0FC19" w14:textId="77777777" w:rsidR="00801657" w:rsidRPr="00801657" w:rsidRDefault="00801657" w:rsidP="00801657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01657">
        <w:rPr>
          <w:rFonts w:ascii="Times New Roman" w:hAnsi="Times New Roman" w:cs="Times New Roman"/>
          <w:b/>
          <w:bCs/>
          <w:color w:val="156082" w:themeColor="accent1"/>
        </w:rPr>
        <w:t>C. ADDITIONAL DEFINITIONS</w:t>
      </w:r>
    </w:p>
    <w:p w14:paraId="6F642691" w14:textId="77777777" w:rsidR="00801657" w:rsidRPr="00801657" w:rsidRDefault="00801657" w:rsidP="00801657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01657">
        <w:rPr>
          <w:rFonts w:ascii="Times New Roman" w:hAnsi="Times New Roman" w:cs="Times New Roman"/>
          <w:b/>
          <w:bCs/>
          <w:color w:val="156082" w:themeColor="accent1"/>
        </w:rPr>
        <w:t>1. Long-Term Service Agreement</w:t>
      </w:r>
    </w:p>
    <w:p w14:paraId="7028808F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"Long-Term Service Agreement" or "LTSA" means any agreement relating to long-term operation, maintenance, inspection, repair, replacement, performance monitoring, technical support, spare parts support, lifecycle management, or asset optimization services.</w:t>
      </w:r>
    </w:p>
    <w:p w14:paraId="5CD8DFC4" w14:textId="77777777" w:rsidR="00801657" w:rsidRPr="00801657" w:rsidRDefault="00801657" w:rsidP="00801657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01657">
        <w:rPr>
          <w:rFonts w:ascii="Times New Roman" w:hAnsi="Times New Roman" w:cs="Times New Roman"/>
          <w:b/>
          <w:bCs/>
          <w:color w:val="156082" w:themeColor="accent1"/>
        </w:rPr>
        <w:t>2. Service Information</w:t>
      </w:r>
    </w:p>
    <w:p w14:paraId="070D38C0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"Service Information" means information relating to maintenance activities, service obligations, technical support arrangements, operational support services, service performance, and lifecycle management activities.</w:t>
      </w:r>
    </w:p>
    <w:p w14:paraId="2146C95C" w14:textId="77777777" w:rsidR="00801657" w:rsidRPr="00801657" w:rsidRDefault="00801657" w:rsidP="00801657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01657">
        <w:rPr>
          <w:rFonts w:ascii="Times New Roman" w:hAnsi="Times New Roman" w:cs="Times New Roman"/>
          <w:b/>
          <w:bCs/>
          <w:color w:val="156082" w:themeColor="accent1"/>
        </w:rPr>
        <w:t>3. Performance Information</w:t>
      </w:r>
    </w:p>
    <w:p w14:paraId="33A79D53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lastRenderedPageBreak/>
        <w:t>"Performance Information" means information relating to availability, reliability, performance guarantees, service levels, operational effectiveness, asset performance, and efficiency metrics.</w:t>
      </w:r>
    </w:p>
    <w:p w14:paraId="404B36E5" w14:textId="77777777" w:rsidR="00801657" w:rsidRPr="00801657" w:rsidRDefault="00801657" w:rsidP="00801657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01657">
        <w:rPr>
          <w:rFonts w:ascii="Times New Roman" w:hAnsi="Times New Roman" w:cs="Times New Roman"/>
          <w:b/>
          <w:bCs/>
          <w:color w:val="156082" w:themeColor="accent1"/>
        </w:rPr>
        <w:t>4. Spare Parts Information</w:t>
      </w:r>
    </w:p>
    <w:p w14:paraId="2085BC72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"Spare Parts Information" means information relating to spare parts inventories, replacement components, procurement strategies, warehousing arrangements, logistics support, and inventory management.</w:t>
      </w:r>
    </w:p>
    <w:p w14:paraId="459B1F4E" w14:textId="77777777" w:rsidR="00801657" w:rsidRPr="00801657" w:rsidRDefault="00801657" w:rsidP="00801657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01657">
        <w:rPr>
          <w:rFonts w:ascii="Times New Roman" w:hAnsi="Times New Roman" w:cs="Times New Roman"/>
          <w:b/>
          <w:bCs/>
          <w:color w:val="156082" w:themeColor="accent1"/>
        </w:rPr>
        <w:t>5. Asset Lifecycle Information</w:t>
      </w:r>
    </w:p>
    <w:p w14:paraId="6B0CCE85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"Asset Lifecycle Information" means information relating to lifecycle management, refurbishment strategies, upgrade programs, replacement planning, augmentation planning, and end-of-life management.</w:t>
      </w:r>
    </w:p>
    <w:p w14:paraId="655BC6B1" w14:textId="77777777" w:rsidR="00801657" w:rsidRPr="00801657" w:rsidRDefault="00801657" w:rsidP="00801657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01657">
        <w:rPr>
          <w:rFonts w:ascii="Times New Roman" w:hAnsi="Times New Roman" w:cs="Times New Roman"/>
          <w:b/>
          <w:bCs/>
          <w:color w:val="156082" w:themeColor="accent1"/>
        </w:rPr>
        <w:t>6. LTSA Documentation</w:t>
      </w:r>
    </w:p>
    <w:p w14:paraId="612D0921" w14:textId="7B2704CC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"LTSA Documentation" means service agreements, maintenance manuals, service reports, performance reports, inspection reports, warranty documentation, service level agreements, and related documentation.</w:t>
      </w:r>
    </w:p>
    <w:p w14:paraId="17C41015" w14:textId="77777777" w:rsidR="00801657" w:rsidRPr="00801657" w:rsidRDefault="00801657" w:rsidP="00801657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01657">
        <w:rPr>
          <w:rFonts w:ascii="Times New Roman" w:hAnsi="Times New Roman" w:cs="Times New Roman"/>
          <w:b/>
          <w:bCs/>
          <w:color w:val="156082" w:themeColor="accent1"/>
        </w:rPr>
        <w:t>D. CONFIDENTIAL INFORMATION EXPANSION</w:t>
      </w:r>
    </w:p>
    <w:p w14:paraId="57A9A7FB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Without limitation, Confidential Information includes:</w:t>
      </w:r>
    </w:p>
    <w:p w14:paraId="229E246C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(a) LTSA opportunities, service opportunities, maintenance opportunities, lifecycle support opportunities, and asset optimization opportunities;</w:t>
      </w:r>
    </w:p>
    <w:p w14:paraId="27E80DB7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(b) maintenance plans, preventive maintenance schedules, corrective maintenance plans, predictive maintenance programs, inspection schedules, and service methodologies;</w:t>
      </w:r>
    </w:p>
    <w:p w14:paraId="0C62EE17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(c) availability guarantees, reliability guarantees, performance guarantees, service level commitments, operational targets, and performance assessments;</w:t>
      </w:r>
    </w:p>
    <w:p w14:paraId="4A549C35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(d) OEM support arrangements, technical support arrangements, remote monitoring arrangements, diagnostics programs, and service infrastructure information;</w:t>
      </w:r>
    </w:p>
    <w:p w14:paraId="2AF96B68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(e) spare parts strategies, inventory information, warehousing arrangements, replacement programs, logistics support arrangements, and supply chain information;</w:t>
      </w:r>
    </w:p>
    <w:p w14:paraId="3D9A3991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(f) SCADA information, monitoring system information, analytics platforms, predictive maintenance information, asset intelligence information, and operational data;</w:t>
      </w:r>
    </w:p>
    <w:p w14:paraId="609F3FC6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(g) asset condition assessments, inspection reports, failure analyses, root cause analyses, reliability studies, and operational reviews;</w:t>
      </w:r>
    </w:p>
    <w:p w14:paraId="585E6F70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(h) lifecycle management plans, refurbishment plans, upgrade opportunities, modernization initiatives, augmentation plans, and replacement strategies;</w:t>
      </w:r>
    </w:p>
    <w:p w14:paraId="39E5F3BB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(i) pricing information, quotations, commercial proposals, service fee structures, incentive structures, penalty structures, and commercial assessments;</w:t>
      </w:r>
    </w:p>
    <w:p w14:paraId="45C410D2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lastRenderedPageBreak/>
        <w:t>(j) service performance reports, operational reports, maintenance records, downtime analyses, incident reports, and asset performance reports;</w:t>
      </w:r>
    </w:p>
    <w:p w14:paraId="0DC6117F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(k) financial models, service cost analyses, lifecycle cost assessments, investment evaluations, performance improvement analyses, and operational efficiency assessments;</w:t>
      </w:r>
    </w:p>
    <w:p w14:paraId="0299FA60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(l) negotiations, service discussions, amendment discussions, extension discussions, renewal discussions, and commercial correspondence; and</w:t>
      </w:r>
    </w:p>
    <w:p w14:paraId="36BB213C" w14:textId="45B38DD0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(m) any other commercial, financial, technical, operational, maintenance-related, service-related, performance-related, renewable-energy-related, strategic, or proprietary information disclosed in connection with the LTSA Arrangement.</w:t>
      </w:r>
    </w:p>
    <w:p w14:paraId="43F6C5BA" w14:textId="77777777" w:rsidR="00801657" w:rsidRPr="00801657" w:rsidRDefault="00801657" w:rsidP="00801657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01657">
        <w:rPr>
          <w:rFonts w:ascii="Times New Roman" w:hAnsi="Times New Roman" w:cs="Times New Roman"/>
          <w:b/>
          <w:bCs/>
          <w:color w:val="156082" w:themeColor="accent1"/>
        </w:rPr>
        <w:t>E. OPTIONAL INTRODUCED CONTACTS DATASET</w:t>
      </w:r>
    </w:p>
    <w:p w14:paraId="6D0C3C9F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OEMs</w:t>
      </w:r>
    </w:p>
    <w:p w14:paraId="097E879E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Wind Turbine Manufacturers</w:t>
      </w:r>
    </w:p>
    <w:p w14:paraId="56256295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Inverter Manufacturers</w:t>
      </w:r>
    </w:p>
    <w:p w14:paraId="7343D215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Battery Manufacturers</w:t>
      </w:r>
    </w:p>
    <w:p w14:paraId="0BDF554F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Project Owners</w:t>
      </w:r>
    </w:p>
    <w:p w14:paraId="11D87DE9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Project Developers</w:t>
      </w:r>
    </w:p>
    <w:p w14:paraId="39630EB0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Asset Managers</w:t>
      </w:r>
    </w:p>
    <w:p w14:paraId="283754E0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O&amp;M Contractors</w:t>
      </w:r>
    </w:p>
    <w:p w14:paraId="6DBFCE2B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EPC Contractors</w:t>
      </w:r>
    </w:p>
    <w:p w14:paraId="72553BAF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Independent Engineers</w:t>
      </w:r>
    </w:p>
    <w:p w14:paraId="4ADF9059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Technical Advisors</w:t>
      </w:r>
    </w:p>
    <w:p w14:paraId="7DB19632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SCADA Providers</w:t>
      </w:r>
    </w:p>
    <w:p w14:paraId="20DC03A3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Monitoring Providers</w:t>
      </w:r>
    </w:p>
    <w:p w14:paraId="33844747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Service Providers</w:t>
      </w:r>
    </w:p>
    <w:p w14:paraId="74AF3812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Spare Parts Suppliers</w:t>
      </w:r>
    </w:p>
    <w:p w14:paraId="0106FD1C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Investors</w:t>
      </w:r>
    </w:p>
    <w:p w14:paraId="0428C450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Infrastructure Funds</w:t>
      </w:r>
    </w:p>
    <w:p w14:paraId="2AFFD9D4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Lenders</w:t>
      </w:r>
    </w:p>
    <w:p w14:paraId="345451CC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Banks</w:t>
      </w:r>
    </w:p>
    <w:p w14:paraId="21D2C701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Regulatory Authorities</w:t>
      </w:r>
    </w:p>
    <w:p w14:paraId="2E2942ED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  <w:r w:rsidRPr="00801657">
        <w:rPr>
          <w:rFonts w:ascii="Times New Roman" w:hAnsi="Times New Roman" w:cs="Times New Roman"/>
          <w:color w:val="156082" w:themeColor="accent1"/>
        </w:rPr>
        <w:t>Strategic Partners</w:t>
      </w:r>
    </w:p>
    <w:p w14:paraId="0EC66607" w14:textId="77777777" w:rsidR="00801657" w:rsidRPr="00801657" w:rsidRDefault="00801657" w:rsidP="00801657">
      <w:pPr>
        <w:jc w:val="both"/>
        <w:rPr>
          <w:rFonts w:ascii="Times New Roman" w:hAnsi="Times New Roman" w:cs="Times New Roman"/>
          <w:color w:val="156082" w:themeColor="accent1"/>
        </w:rPr>
      </w:pPr>
    </w:p>
    <w:sectPr w:rsidR="00801657" w:rsidRPr="00801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657"/>
    <w:rsid w:val="0074334E"/>
    <w:rsid w:val="00801657"/>
    <w:rsid w:val="00B0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DD9BC"/>
  <w15:chartTrackingRefBased/>
  <w15:docId w15:val="{F6D79AD2-56CA-44F5-9E2A-EECDD6510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878</Words>
  <Characters>5006</Characters>
  <Application>Microsoft Office Word</Application>
  <DocSecurity>0</DocSecurity>
  <Lines>41</Lines>
  <Paragraphs>11</Paragraphs>
  <ScaleCrop>false</ScaleCrop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2</cp:revision>
  <dcterms:created xsi:type="dcterms:W3CDTF">2026-06-11T05:54:00Z</dcterms:created>
  <dcterms:modified xsi:type="dcterms:W3CDTF">2026-06-11T05:57:00Z</dcterms:modified>
</cp:coreProperties>
</file>