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985E0" w14:textId="77777777" w:rsidR="00E6485C" w:rsidRPr="00E6485C" w:rsidRDefault="00E6485C" w:rsidP="00E6485C">
      <w:pPr>
        <w:jc w:val="center"/>
        <w:rPr>
          <w:rFonts w:ascii="Times New Roman" w:hAnsi="Times New Roman" w:cs="Times New Roman"/>
          <w:b/>
          <w:bCs/>
          <w:color w:val="156082" w:themeColor="accent1"/>
          <w:u w:val="single"/>
        </w:rPr>
      </w:pPr>
      <w:r w:rsidRPr="00E6485C">
        <w:rPr>
          <w:rFonts w:ascii="Times New Roman" w:hAnsi="Times New Roman" w:cs="Times New Roman"/>
          <w:b/>
          <w:bCs/>
          <w:color w:val="156082" w:themeColor="accent1"/>
          <w:u w:val="single"/>
        </w:rPr>
        <w:t>RE-32 – ASSET REPOWERING &amp; LIFE EXTENSION DISCUSSIONS</w:t>
      </w:r>
    </w:p>
    <w:p w14:paraId="7EF1CC8B"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This pack is designed for renewable energy asset owners, IPPs, infrastructure funds, asset managers, OEMs, EPC contractors, technical advisors, investors, and lenders evaluating repowering, refurbishment, modernization, upgrade, augmentation, and life extension opportunities for renewable energy assets.</w:t>
      </w:r>
    </w:p>
    <w:p w14:paraId="61951B38" w14:textId="49A2C9F2"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This is particularly relevant for aging solar plants, wind farms, BESS assets, substations, and renewable infrastructure where owners seek to increase generation, improve performance, extend useful life, or optimize asset value.</w:t>
      </w:r>
    </w:p>
    <w:p w14:paraId="30422CE1" w14:textId="77777777" w:rsidR="00E6485C" w:rsidRPr="00E6485C" w:rsidRDefault="00E6485C" w:rsidP="00E6485C">
      <w:pPr>
        <w:jc w:val="both"/>
        <w:rPr>
          <w:rFonts w:ascii="Times New Roman" w:hAnsi="Times New Roman" w:cs="Times New Roman"/>
          <w:b/>
          <w:bCs/>
          <w:color w:val="156082" w:themeColor="accent1"/>
        </w:rPr>
      </w:pPr>
      <w:r w:rsidRPr="00E6485C">
        <w:rPr>
          <w:rFonts w:ascii="Times New Roman" w:hAnsi="Times New Roman" w:cs="Times New Roman"/>
          <w:b/>
          <w:bCs/>
          <w:color w:val="156082" w:themeColor="accent1"/>
        </w:rPr>
        <w:t>A. PURPOSE DEFINITION</w:t>
      </w:r>
    </w:p>
    <w:p w14:paraId="74D69186" w14:textId="3E83C0C4"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"Purpose" means the evaluation, discussion, assessment, planning, design, engineering, financing, implementation, management, operation, refurbishment, modernization, upgrade, augmentation, repowering, life extension, optimization, or potential redevelopment of renewable energy assets, renewable energy projects, infrastructure assets, or associated facilities.</w:t>
      </w:r>
    </w:p>
    <w:p w14:paraId="6699BB49" w14:textId="77777777" w:rsidR="00E6485C" w:rsidRPr="00E6485C" w:rsidRDefault="00E6485C" w:rsidP="00E6485C">
      <w:pPr>
        <w:jc w:val="both"/>
        <w:rPr>
          <w:rFonts w:ascii="Times New Roman" w:hAnsi="Times New Roman" w:cs="Times New Roman"/>
          <w:b/>
          <w:bCs/>
          <w:color w:val="156082" w:themeColor="accent1"/>
        </w:rPr>
      </w:pPr>
      <w:r w:rsidRPr="00E6485C">
        <w:rPr>
          <w:rFonts w:ascii="Times New Roman" w:hAnsi="Times New Roman" w:cs="Times New Roman"/>
          <w:b/>
          <w:bCs/>
          <w:color w:val="156082" w:themeColor="accent1"/>
        </w:rPr>
        <w:t>B. RECITAL VARIANT</w:t>
      </w:r>
    </w:p>
    <w:p w14:paraId="32B2D83B" w14:textId="77777777" w:rsidR="00E6485C" w:rsidRPr="00E6485C" w:rsidRDefault="00E6485C" w:rsidP="00E6485C">
      <w:pPr>
        <w:jc w:val="both"/>
        <w:rPr>
          <w:rFonts w:ascii="Times New Roman" w:hAnsi="Times New Roman" w:cs="Times New Roman"/>
          <w:color w:val="156082" w:themeColor="accent1"/>
        </w:rPr>
      </w:pPr>
      <w:proofErr w:type="gramStart"/>
      <w:r w:rsidRPr="00E6485C">
        <w:rPr>
          <w:rFonts w:ascii="Times New Roman" w:hAnsi="Times New Roman" w:cs="Times New Roman"/>
          <w:color w:val="156082" w:themeColor="accent1"/>
        </w:rPr>
        <w:t>WHEREAS,</w:t>
      </w:r>
      <w:proofErr w:type="gramEnd"/>
      <w:r w:rsidRPr="00E6485C">
        <w:rPr>
          <w:rFonts w:ascii="Times New Roman" w:hAnsi="Times New Roman" w:cs="Times New Roman"/>
          <w:color w:val="156082" w:themeColor="accent1"/>
        </w:rPr>
        <w:t xml:space="preserve"> the Parties desire to evaluate and discuss one or more repowering opportunities, life extension opportunities, modernization initiatives, upgrade programs, refurbishment activities, optimization strategies, or related commercial relationships concerning renewable energy projects and infrastructure assets;</w:t>
      </w:r>
    </w:p>
    <w:p w14:paraId="121E1AD1"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WHEREAS, in connection with such discussions, evaluations, technical assessments, engineering reviews, commercial negotiations, and transaction discussions, the Parties may disclose and exchange confidential commercial, financial, technical, operational, engineering-related, and proprietary information;</w:t>
      </w:r>
    </w:p>
    <w:p w14:paraId="5A1FCDEF" w14:textId="57497576" w:rsidR="00E6485C" w:rsidRPr="00E6485C" w:rsidRDefault="00E6485C" w:rsidP="00E6485C">
      <w:pPr>
        <w:jc w:val="both"/>
        <w:rPr>
          <w:rFonts w:ascii="Times New Roman" w:hAnsi="Times New Roman" w:cs="Times New Roman"/>
          <w:color w:val="156082" w:themeColor="accent1"/>
        </w:rPr>
      </w:pPr>
      <w:proofErr w:type="gramStart"/>
      <w:r w:rsidRPr="00E6485C">
        <w:rPr>
          <w:rFonts w:ascii="Times New Roman" w:hAnsi="Times New Roman" w:cs="Times New Roman"/>
          <w:color w:val="156082" w:themeColor="accent1"/>
        </w:rPr>
        <w:t>WHEREAS,</w:t>
      </w:r>
      <w:proofErr w:type="gramEnd"/>
      <w:r w:rsidRPr="00E6485C">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112C42D6" w14:textId="77777777" w:rsidR="00E6485C" w:rsidRPr="00E6485C" w:rsidRDefault="00E6485C" w:rsidP="00E6485C">
      <w:pPr>
        <w:jc w:val="both"/>
        <w:rPr>
          <w:rFonts w:ascii="Times New Roman" w:hAnsi="Times New Roman" w:cs="Times New Roman"/>
          <w:b/>
          <w:bCs/>
          <w:color w:val="156082" w:themeColor="accent1"/>
        </w:rPr>
      </w:pPr>
      <w:r w:rsidRPr="00E6485C">
        <w:rPr>
          <w:rFonts w:ascii="Times New Roman" w:hAnsi="Times New Roman" w:cs="Times New Roman"/>
          <w:b/>
          <w:bCs/>
          <w:color w:val="156082" w:themeColor="accent1"/>
        </w:rPr>
        <w:t>C. ADDITIONAL DEFINITIONS</w:t>
      </w:r>
    </w:p>
    <w:p w14:paraId="6A0CCCA1" w14:textId="77777777" w:rsidR="00E6485C" w:rsidRPr="00E6485C" w:rsidRDefault="00E6485C" w:rsidP="00E6485C">
      <w:pPr>
        <w:jc w:val="both"/>
        <w:rPr>
          <w:rFonts w:ascii="Times New Roman" w:hAnsi="Times New Roman" w:cs="Times New Roman"/>
          <w:b/>
          <w:bCs/>
          <w:color w:val="156082" w:themeColor="accent1"/>
        </w:rPr>
      </w:pPr>
      <w:r w:rsidRPr="00E6485C">
        <w:rPr>
          <w:rFonts w:ascii="Times New Roman" w:hAnsi="Times New Roman" w:cs="Times New Roman"/>
          <w:b/>
          <w:bCs/>
          <w:color w:val="156082" w:themeColor="accent1"/>
        </w:rPr>
        <w:t>1. Repowering</w:t>
      </w:r>
    </w:p>
    <w:p w14:paraId="081321DF"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"Repowering" means the replacement, upgrade, enhancement, augmentation, modernization, redevelopment, or improvement of renewable energy assets, equipment, systems, or infrastructure to improve performance, capacity, efficiency, reliability, or economic value.</w:t>
      </w:r>
    </w:p>
    <w:p w14:paraId="61071245" w14:textId="77777777" w:rsidR="00E6485C" w:rsidRPr="00E6485C" w:rsidRDefault="00E6485C" w:rsidP="00E6485C">
      <w:pPr>
        <w:jc w:val="both"/>
        <w:rPr>
          <w:rFonts w:ascii="Times New Roman" w:hAnsi="Times New Roman" w:cs="Times New Roman"/>
          <w:b/>
          <w:bCs/>
          <w:color w:val="156082" w:themeColor="accent1"/>
        </w:rPr>
      </w:pPr>
      <w:r w:rsidRPr="00E6485C">
        <w:rPr>
          <w:rFonts w:ascii="Times New Roman" w:hAnsi="Times New Roman" w:cs="Times New Roman"/>
          <w:b/>
          <w:bCs/>
          <w:color w:val="156082" w:themeColor="accent1"/>
        </w:rPr>
        <w:t>2. Life Extension</w:t>
      </w:r>
    </w:p>
    <w:p w14:paraId="6754CBFD"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"Life Extension" means any activity intended to extend the useful life, operational life, economic life, or service life of a renewable energy asset or associated infrastructure.</w:t>
      </w:r>
    </w:p>
    <w:p w14:paraId="3B228A78" w14:textId="77777777" w:rsidR="00E6485C" w:rsidRPr="00E6485C" w:rsidRDefault="00E6485C" w:rsidP="00E6485C">
      <w:pPr>
        <w:jc w:val="both"/>
        <w:rPr>
          <w:rFonts w:ascii="Times New Roman" w:hAnsi="Times New Roman" w:cs="Times New Roman"/>
          <w:b/>
          <w:bCs/>
          <w:color w:val="156082" w:themeColor="accent1"/>
        </w:rPr>
      </w:pPr>
      <w:r w:rsidRPr="00E6485C">
        <w:rPr>
          <w:rFonts w:ascii="Times New Roman" w:hAnsi="Times New Roman" w:cs="Times New Roman"/>
          <w:b/>
          <w:bCs/>
          <w:color w:val="156082" w:themeColor="accent1"/>
        </w:rPr>
        <w:t>3. Asset Information</w:t>
      </w:r>
    </w:p>
    <w:p w14:paraId="3726E41A"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lastRenderedPageBreak/>
        <w:t>"Asset Information" means information relating to asset condition, performance, lifecycle status, operational history, maintenance history, technical specifications, and future operating potential.</w:t>
      </w:r>
    </w:p>
    <w:p w14:paraId="6A09905C" w14:textId="77777777" w:rsidR="00E6485C" w:rsidRPr="00E6485C" w:rsidRDefault="00E6485C" w:rsidP="00E6485C">
      <w:pPr>
        <w:jc w:val="both"/>
        <w:rPr>
          <w:rFonts w:ascii="Times New Roman" w:hAnsi="Times New Roman" w:cs="Times New Roman"/>
          <w:b/>
          <w:bCs/>
          <w:color w:val="156082" w:themeColor="accent1"/>
        </w:rPr>
      </w:pPr>
      <w:r w:rsidRPr="00E6485C">
        <w:rPr>
          <w:rFonts w:ascii="Times New Roman" w:hAnsi="Times New Roman" w:cs="Times New Roman"/>
          <w:b/>
          <w:bCs/>
          <w:color w:val="156082" w:themeColor="accent1"/>
        </w:rPr>
        <w:t>4. Upgrade Information</w:t>
      </w:r>
    </w:p>
    <w:p w14:paraId="0BF40E3D"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"Upgrade Information" means information relating to equipment replacement, technology upgrades, system modernization, augmentation activities, optimization initiatives, and performance improvement opportunities.</w:t>
      </w:r>
    </w:p>
    <w:p w14:paraId="2CD2F475" w14:textId="77777777" w:rsidR="00E6485C" w:rsidRPr="00E6485C" w:rsidRDefault="00E6485C" w:rsidP="00E6485C">
      <w:pPr>
        <w:jc w:val="both"/>
        <w:rPr>
          <w:rFonts w:ascii="Times New Roman" w:hAnsi="Times New Roman" w:cs="Times New Roman"/>
          <w:b/>
          <w:bCs/>
          <w:color w:val="156082" w:themeColor="accent1"/>
        </w:rPr>
      </w:pPr>
      <w:r w:rsidRPr="00E6485C">
        <w:rPr>
          <w:rFonts w:ascii="Times New Roman" w:hAnsi="Times New Roman" w:cs="Times New Roman"/>
          <w:b/>
          <w:bCs/>
          <w:color w:val="156082" w:themeColor="accent1"/>
        </w:rPr>
        <w:t>5. Performance Information</w:t>
      </w:r>
    </w:p>
    <w:p w14:paraId="33F8EC1E"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"Performance Information" means information relating to generation output, availability, reliability, efficiency, degradation, lifecycle performance, and operational effectiveness.</w:t>
      </w:r>
    </w:p>
    <w:p w14:paraId="6F871CE7" w14:textId="77777777" w:rsidR="00E6485C" w:rsidRPr="00E6485C" w:rsidRDefault="00E6485C" w:rsidP="00E6485C">
      <w:pPr>
        <w:jc w:val="both"/>
        <w:rPr>
          <w:rFonts w:ascii="Times New Roman" w:hAnsi="Times New Roman" w:cs="Times New Roman"/>
          <w:b/>
          <w:bCs/>
          <w:color w:val="156082" w:themeColor="accent1"/>
        </w:rPr>
      </w:pPr>
      <w:r w:rsidRPr="00E6485C">
        <w:rPr>
          <w:rFonts w:ascii="Times New Roman" w:hAnsi="Times New Roman" w:cs="Times New Roman"/>
          <w:b/>
          <w:bCs/>
          <w:color w:val="156082" w:themeColor="accent1"/>
        </w:rPr>
        <w:t>6. Repowering Documentation</w:t>
      </w:r>
    </w:p>
    <w:p w14:paraId="3F31746D" w14:textId="0E2C6308"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"Repowering Documentation" means technical reports, engineering studies, upgrade proposals, refurbishment plans, life extension studies, feasibility studies, business cases, and related documentation.</w:t>
      </w:r>
    </w:p>
    <w:p w14:paraId="674C5143" w14:textId="77777777" w:rsidR="00E6485C" w:rsidRPr="00E6485C" w:rsidRDefault="00E6485C" w:rsidP="00E6485C">
      <w:pPr>
        <w:jc w:val="both"/>
        <w:rPr>
          <w:rFonts w:ascii="Times New Roman" w:hAnsi="Times New Roman" w:cs="Times New Roman"/>
          <w:b/>
          <w:bCs/>
          <w:color w:val="156082" w:themeColor="accent1"/>
        </w:rPr>
      </w:pPr>
      <w:r w:rsidRPr="00E6485C">
        <w:rPr>
          <w:rFonts w:ascii="Times New Roman" w:hAnsi="Times New Roman" w:cs="Times New Roman"/>
          <w:b/>
          <w:bCs/>
          <w:color w:val="156082" w:themeColor="accent1"/>
        </w:rPr>
        <w:t>D. CONFIDENTIAL INFORMATION EXPANSION</w:t>
      </w:r>
    </w:p>
    <w:p w14:paraId="75D6651B"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Without limitation, Confidential Information includes:</w:t>
      </w:r>
    </w:p>
    <w:p w14:paraId="3CF1C0FC"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(a) repowering opportunities, modernization opportunities, refurbishment opportunities, life extension opportunities, augmentation opportunities, and optimization opportunities;</w:t>
      </w:r>
    </w:p>
    <w:p w14:paraId="218546E9"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(b) asset condition assessments, technical assessments, engineering reviews, inspection reports, lifecycle studies, and performance evaluations;</w:t>
      </w:r>
    </w:p>
    <w:p w14:paraId="10FE1770"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(c) generation reports, availability reports, degradation analyses, reliability assessments, operational reports, and performance benchmarking information;</w:t>
      </w:r>
    </w:p>
    <w:p w14:paraId="7ED5DF67"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(d) equipment replacement plans, upgrade strategies, technology assessments, modernization programs, retrofit opportunities, and engineering studies;</w:t>
      </w:r>
    </w:p>
    <w:p w14:paraId="6DE869B4"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(e) OEM evaluations, technology provider assessments, vendor evaluations, warranty assessments, lifecycle support assessments, and technical due diligence findings;</w:t>
      </w:r>
    </w:p>
    <w:p w14:paraId="082BFED4"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(f) solar module replacement strategies, inverter replacement strategies, turbine upgrade opportunities, battery augmentation plans, and equipment modernization initiatives;</w:t>
      </w:r>
    </w:p>
    <w:p w14:paraId="1ADBB5CD"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(g) engineering designs, technical specifications, system configurations, performance models, simulations, and optimization analyses;</w:t>
      </w:r>
    </w:p>
    <w:p w14:paraId="79DA4872"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(h) project financial models, repowering business cases, lifecycle cost analyses, investment assessments, return analyses, and financing evaluations;</w:t>
      </w:r>
    </w:p>
    <w:p w14:paraId="461A287D"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(i) regulatory assessments, permit requirements, grid compliance assessments, environmental assessments, and approval requirements;</w:t>
      </w:r>
    </w:p>
    <w:p w14:paraId="74900C9D"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lastRenderedPageBreak/>
        <w:t>(j) construction plans, implementation schedules, outage plans, commissioning plans, testing programs, and execution strategies;</w:t>
      </w:r>
    </w:p>
    <w:p w14:paraId="5540CEA2"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(k) lender assessments, investor assessments, acquisition assessments, valuation impacts, refinancing opportunities, and strategic reviews;</w:t>
      </w:r>
    </w:p>
    <w:p w14:paraId="3243F066"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(l) negotiations, upgrade discussions, refurbishment discussions, modernization discussions, transaction discussions, and commercial correspondence; and</w:t>
      </w:r>
    </w:p>
    <w:p w14:paraId="4E462C08" w14:textId="4184D28D"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(m) any other commercial, financial, technical, operational, engineering-related, upgrade-related, repowering-related, lifecycle-related, renewable-energy-related, strategic, or proprietary information disclosed in connection with the Repowering or Life Extension Initiative.</w:t>
      </w:r>
    </w:p>
    <w:p w14:paraId="75140419" w14:textId="77777777" w:rsidR="00E6485C" w:rsidRPr="00E6485C" w:rsidRDefault="00E6485C" w:rsidP="00E6485C">
      <w:pPr>
        <w:jc w:val="both"/>
        <w:rPr>
          <w:rFonts w:ascii="Times New Roman" w:hAnsi="Times New Roman" w:cs="Times New Roman"/>
          <w:b/>
          <w:bCs/>
          <w:color w:val="156082" w:themeColor="accent1"/>
        </w:rPr>
      </w:pPr>
      <w:r w:rsidRPr="00E6485C">
        <w:rPr>
          <w:rFonts w:ascii="Times New Roman" w:hAnsi="Times New Roman" w:cs="Times New Roman"/>
          <w:b/>
          <w:bCs/>
          <w:color w:val="156082" w:themeColor="accent1"/>
        </w:rPr>
        <w:t>E. OPTIONAL INTRODUCED CONTACTS DATASET</w:t>
      </w:r>
    </w:p>
    <w:p w14:paraId="1BEE2114"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Project Owners</w:t>
      </w:r>
    </w:p>
    <w:p w14:paraId="1977C89F"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Asset Owners</w:t>
      </w:r>
    </w:p>
    <w:p w14:paraId="235832C3"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Asset Managers</w:t>
      </w:r>
    </w:p>
    <w:p w14:paraId="09A022C2"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Project Developers</w:t>
      </w:r>
    </w:p>
    <w:p w14:paraId="5F621DA1"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IPP Operators</w:t>
      </w:r>
    </w:p>
    <w:p w14:paraId="52178952"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OEMs</w:t>
      </w:r>
    </w:p>
    <w:p w14:paraId="6BFBF4D7"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EPC Contractors</w:t>
      </w:r>
    </w:p>
    <w:p w14:paraId="3BECC515"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O&amp;M Contractors</w:t>
      </w:r>
    </w:p>
    <w:p w14:paraId="05517C8A"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Technical Advisors</w:t>
      </w:r>
    </w:p>
    <w:p w14:paraId="22237FAB"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Independent Engineers</w:t>
      </w:r>
    </w:p>
    <w:p w14:paraId="46E58C2D"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Technology Providers</w:t>
      </w:r>
    </w:p>
    <w:p w14:paraId="6F3F7801"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SCADA Providers</w:t>
      </w:r>
    </w:p>
    <w:p w14:paraId="70EBC083"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Monitoring Providers</w:t>
      </w:r>
    </w:p>
    <w:p w14:paraId="1F454F10"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Infrastructure Funds</w:t>
      </w:r>
    </w:p>
    <w:p w14:paraId="40F6DAD3"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Institutional Investors</w:t>
      </w:r>
    </w:p>
    <w:p w14:paraId="5935AB77"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Lenders</w:t>
      </w:r>
    </w:p>
    <w:p w14:paraId="7AFFD3C3"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Banks</w:t>
      </w:r>
    </w:p>
    <w:p w14:paraId="436BD062"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Legal Advisors</w:t>
      </w:r>
    </w:p>
    <w:p w14:paraId="1A2612D9"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Regulatory Authorities</w:t>
      </w:r>
    </w:p>
    <w:p w14:paraId="41ADE11B"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t>Government Authorities</w:t>
      </w:r>
    </w:p>
    <w:p w14:paraId="46A18D38" w14:textId="77777777" w:rsidR="00E6485C" w:rsidRPr="00E6485C" w:rsidRDefault="00E6485C" w:rsidP="00E6485C">
      <w:pPr>
        <w:jc w:val="both"/>
        <w:rPr>
          <w:rFonts w:ascii="Times New Roman" w:hAnsi="Times New Roman" w:cs="Times New Roman"/>
          <w:color w:val="156082" w:themeColor="accent1"/>
        </w:rPr>
      </w:pPr>
      <w:r w:rsidRPr="00E6485C">
        <w:rPr>
          <w:rFonts w:ascii="Times New Roman" w:hAnsi="Times New Roman" w:cs="Times New Roman"/>
          <w:color w:val="156082" w:themeColor="accent1"/>
        </w:rPr>
        <w:lastRenderedPageBreak/>
        <w:t>Strategic Partners</w:t>
      </w:r>
    </w:p>
    <w:p w14:paraId="6D2AA60C" w14:textId="77777777" w:rsidR="00E6485C" w:rsidRPr="00E6485C" w:rsidRDefault="00E6485C" w:rsidP="00E6485C">
      <w:pPr>
        <w:jc w:val="both"/>
        <w:rPr>
          <w:rFonts w:ascii="Times New Roman" w:hAnsi="Times New Roman" w:cs="Times New Roman"/>
          <w:color w:val="156082" w:themeColor="accent1"/>
        </w:rPr>
      </w:pPr>
    </w:p>
    <w:sectPr w:rsidR="00E6485C" w:rsidRPr="00E64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85C"/>
    <w:rsid w:val="00B07520"/>
    <w:rsid w:val="00E64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C1D4A"/>
  <w15:chartTrackingRefBased/>
  <w15:docId w15:val="{0F964B40-8BD8-4289-9561-C187B8690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8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8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8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8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8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8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8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8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8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8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85C"/>
    <w:rPr>
      <w:rFonts w:eastAsiaTheme="majorEastAsia" w:cstheme="majorBidi"/>
      <w:color w:val="272727" w:themeColor="text1" w:themeTint="D8"/>
    </w:rPr>
  </w:style>
  <w:style w:type="paragraph" w:styleId="Title">
    <w:name w:val="Title"/>
    <w:basedOn w:val="Normal"/>
    <w:next w:val="Normal"/>
    <w:link w:val="TitleChar"/>
    <w:uiPriority w:val="10"/>
    <w:qFormat/>
    <w:rsid w:val="00E64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85C"/>
    <w:pPr>
      <w:spacing w:before="160"/>
      <w:jc w:val="center"/>
    </w:pPr>
    <w:rPr>
      <w:i/>
      <w:iCs/>
      <w:color w:val="404040" w:themeColor="text1" w:themeTint="BF"/>
    </w:rPr>
  </w:style>
  <w:style w:type="character" w:customStyle="1" w:styleId="QuoteChar">
    <w:name w:val="Quote Char"/>
    <w:basedOn w:val="DefaultParagraphFont"/>
    <w:link w:val="Quote"/>
    <w:uiPriority w:val="29"/>
    <w:rsid w:val="00E6485C"/>
    <w:rPr>
      <w:i/>
      <w:iCs/>
      <w:color w:val="404040" w:themeColor="text1" w:themeTint="BF"/>
    </w:rPr>
  </w:style>
  <w:style w:type="paragraph" w:styleId="ListParagraph">
    <w:name w:val="List Paragraph"/>
    <w:basedOn w:val="Normal"/>
    <w:uiPriority w:val="34"/>
    <w:qFormat/>
    <w:rsid w:val="00E6485C"/>
    <w:pPr>
      <w:ind w:left="720"/>
      <w:contextualSpacing/>
    </w:pPr>
  </w:style>
  <w:style w:type="character" w:styleId="IntenseEmphasis">
    <w:name w:val="Intense Emphasis"/>
    <w:basedOn w:val="DefaultParagraphFont"/>
    <w:uiPriority w:val="21"/>
    <w:qFormat/>
    <w:rsid w:val="00E6485C"/>
    <w:rPr>
      <w:i/>
      <w:iCs/>
      <w:color w:val="0F4761" w:themeColor="accent1" w:themeShade="BF"/>
    </w:rPr>
  </w:style>
  <w:style w:type="paragraph" w:styleId="IntenseQuote">
    <w:name w:val="Intense Quote"/>
    <w:basedOn w:val="Normal"/>
    <w:next w:val="Normal"/>
    <w:link w:val="IntenseQuoteChar"/>
    <w:uiPriority w:val="30"/>
    <w:qFormat/>
    <w:rsid w:val="00E64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85C"/>
    <w:rPr>
      <w:i/>
      <w:iCs/>
      <w:color w:val="0F4761" w:themeColor="accent1" w:themeShade="BF"/>
    </w:rPr>
  </w:style>
  <w:style w:type="character" w:styleId="IntenseReference">
    <w:name w:val="Intense Reference"/>
    <w:basedOn w:val="DefaultParagraphFont"/>
    <w:uiPriority w:val="32"/>
    <w:qFormat/>
    <w:rsid w:val="00E648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854</Words>
  <Characters>4869</Characters>
  <Application>Microsoft Office Word</Application>
  <DocSecurity>0</DocSecurity>
  <Lines>40</Lines>
  <Paragraphs>11</Paragraphs>
  <ScaleCrop>false</ScaleCrop>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2026-06-11T05:57:00Z</dcterms:created>
  <dcterms:modified xsi:type="dcterms:W3CDTF">2026-06-11T05:59:00Z</dcterms:modified>
</cp:coreProperties>
</file>