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B93E" w14:textId="77777777" w:rsidR="002C0A91" w:rsidRPr="002C0A91" w:rsidRDefault="002C0A91" w:rsidP="002C0A91">
      <w:pPr>
        <w:jc w:val="center"/>
        <w:rPr>
          <w:rFonts w:ascii="Times New Roman" w:hAnsi="Times New Roman" w:cs="Times New Roman"/>
          <w:b/>
          <w:bCs/>
          <w:color w:val="156082" w:themeColor="accent1"/>
          <w:u w:val="single"/>
        </w:rPr>
      </w:pPr>
      <w:r w:rsidRPr="002C0A91">
        <w:rPr>
          <w:rFonts w:ascii="Times New Roman" w:hAnsi="Times New Roman" w:cs="Times New Roman"/>
          <w:b/>
          <w:bCs/>
          <w:color w:val="156082" w:themeColor="accent1"/>
          <w:u w:val="single"/>
        </w:rPr>
        <w:t>RE-33 – RENEWABLE ENERGY DUE DILIGENCE DISCUSSIONS</w:t>
      </w:r>
    </w:p>
    <w:p w14:paraId="7267687F" w14:textId="77777777" w:rsidR="002C0A91" w:rsidRPr="002C0A91" w:rsidRDefault="002C0A91" w:rsidP="002C0A91">
      <w:pPr>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A. PURPOSE DEFINITION</w:t>
      </w:r>
    </w:p>
    <w:p w14:paraId="76E5EDCE" w14:textId="6EAD08D9"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"Purpose" means the evaluation, review, assessment, investigation, verification, validation, audit, due diligence, risk assessment, acquisition review, financing review, investment review, compliance review, or potential transaction involving renewable energy projects, renewable energy assets, project companies, portfolios, infrastructure assets, or associated businesses.</w:t>
      </w:r>
    </w:p>
    <w:p w14:paraId="6DE0EB5F" w14:textId="77777777" w:rsidR="002C0A91" w:rsidRPr="002C0A91" w:rsidRDefault="002C0A91" w:rsidP="002C0A91">
      <w:pPr>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B. RECITAL VARIANT</w:t>
      </w:r>
    </w:p>
    <w:p w14:paraId="68B29F4F" w14:textId="77777777" w:rsidR="002C0A91" w:rsidRPr="002C0A91" w:rsidRDefault="002C0A91" w:rsidP="002C0A91">
      <w:pPr>
        <w:jc w:val="both"/>
        <w:rPr>
          <w:rFonts w:ascii="Times New Roman" w:hAnsi="Times New Roman" w:cs="Times New Roman"/>
          <w:color w:val="156082" w:themeColor="accent1"/>
        </w:rPr>
      </w:pPr>
      <w:proofErr w:type="gramStart"/>
      <w:r w:rsidRPr="002C0A91">
        <w:rPr>
          <w:rFonts w:ascii="Times New Roman" w:hAnsi="Times New Roman" w:cs="Times New Roman"/>
          <w:color w:val="156082" w:themeColor="accent1"/>
        </w:rPr>
        <w:t>WHEREAS,</w:t>
      </w:r>
      <w:proofErr w:type="gramEnd"/>
      <w:r w:rsidRPr="002C0A91">
        <w:rPr>
          <w:rFonts w:ascii="Times New Roman" w:hAnsi="Times New Roman" w:cs="Times New Roman"/>
          <w:color w:val="156082" w:themeColor="accent1"/>
        </w:rPr>
        <w:t xml:space="preserve"> the Parties desire to evaluate and conduct due diligence in relation to one or more renewable energy projects, renewable energy assets, project companies, infrastructure assets, investment opportunities, financing opportunities, acquisition opportunities, or related commercial transactions;</w:t>
      </w:r>
    </w:p>
    <w:p w14:paraId="27968705"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WHEREAS, in connection with such evaluations, investigations, assessments, audits, reviews, and transaction discussions, the Parties may disclose and exchange confidential commercial, financial, technical, operational, legal, regulatory, environmental, and proprietary information;</w:t>
      </w:r>
    </w:p>
    <w:p w14:paraId="63BBB1CC" w14:textId="56C5BEB6" w:rsidR="002C0A91" w:rsidRPr="002C0A91" w:rsidRDefault="002C0A91" w:rsidP="002C0A91">
      <w:pPr>
        <w:jc w:val="both"/>
        <w:rPr>
          <w:rFonts w:ascii="Times New Roman" w:hAnsi="Times New Roman" w:cs="Times New Roman"/>
          <w:color w:val="156082" w:themeColor="accent1"/>
        </w:rPr>
      </w:pPr>
      <w:proofErr w:type="gramStart"/>
      <w:r w:rsidRPr="002C0A91">
        <w:rPr>
          <w:rFonts w:ascii="Times New Roman" w:hAnsi="Times New Roman" w:cs="Times New Roman"/>
          <w:color w:val="156082" w:themeColor="accent1"/>
        </w:rPr>
        <w:t>WHEREAS,</w:t>
      </w:r>
      <w:proofErr w:type="gramEnd"/>
      <w:r w:rsidRPr="002C0A91">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2A0C204" w14:textId="77777777" w:rsidR="002C0A91" w:rsidRPr="002C0A91" w:rsidRDefault="002C0A91" w:rsidP="002C0A91">
      <w:pPr>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C. ADDITIONAL DEFINITIONS</w:t>
      </w:r>
    </w:p>
    <w:p w14:paraId="5C3FE44D" w14:textId="77777777" w:rsidR="002C0A91" w:rsidRPr="002C0A91" w:rsidRDefault="002C0A91" w:rsidP="002C0A91">
      <w:pPr>
        <w:numPr>
          <w:ilvl w:val="0"/>
          <w:numId w:val="1"/>
        </w:numPr>
        <w:tabs>
          <w:tab w:val="clear" w:pos="360"/>
          <w:tab w:val="num" w:pos="720"/>
        </w:tabs>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Due Diligence</w:t>
      </w:r>
    </w:p>
    <w:p w14:paraId="1A263771"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"Due Diligence" means any legal, financial, technical, operational, commercial, tax, environmental, regulatory, ESG, insurance, cybersecurity, compliance, governance, or other review conducted in connection with the Purpose.</w:t>
      </w:r>
    </w:p>
    <w:p w14:paraId="472998E1" w14:textId="77777777" w:rsidR="002C0A91" w:rsidRPr="002C0A91" w:rsidRDefault="002C0A91" w:rsidP="002C0A91">
      <w:pPr>
        <w:numPr>
          <w:ilvl w:val="0"/>
          <w:numId w:val="2"/>
        </w:numPr>
        <w:tabs>
          <w:tab w:val="clear" w:pos="360"/>
          <w:tab w:val="num" w:pos="720"/>
        </w:tabs>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Target Asset</w:t>
      </w:r>
    </w:p>
    <w:p w14:paraId="21DADDBC"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"Target Asset" means any renewable energy project, renewable energy portfolio, project company, infrastructure asset, development right, generation facility, storage asset, or associated business being reviewed.</w:t>
      </w:r>
    </w:p>
    <w:p w14:paraId="647941A6" w14:textId="77777777" w:rsidR="002C0A91" w:rsidRPr="002C0A91" w:rsidRDefault="002C0A91" w:rsidP="002C0A91">
      <w:pPr>
        <w:numPr>
          <w:ilvl w:val="0"/>
          <w:numId w:val="3"/>
        </w:numPr>
        <w:tabs>
          <w:tab w:val="clear" w:pos="360"/>
          <w:tab w:val="num" w:pos="720"/>
        </w:tabs>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Due Diligence Information</w:t>
      </w:r>
    </w:p>
    <w:p w14:paraId="1AD85AAB"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"Due Diligence Information" means information relating to assessments, reviews, investigations, audits, findings, observations, recommendations, and risk analyses prepared or obtained in connection with the Purpose.</w:t>
      </w:r>
    </w:p>
    <w:p w14:paraId="791B1208" w14:textId="77777777" w:rsidR="002C0A91" w:rsidRPr="002C0A91" w:rsidRDefault="002C0A91" w:rsidP="002C0A91">
      <w:pPr>
        <w:numPr>
          <w:ilvl w:val="0"/>
          <w:numId w:val="4"/>
        </w:numPr>
        <w:tabs>
          <w:tab w:val="clear" w:pos="360"/>
          <w:tab w:val="num" w:pos="720"/>
        </w:tabs>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Data Room Information</w:t>
      </w:r>
    </w:p>
    <w:p w14:paraId="1E8FBACA"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"Data Room Information" means documents, records, reports, correspondence, agreements, permits, approvals, analyses, models, presentations, and information made available physically or electronically for review.</w:t>
      </w:r>
    </w:p>
    <w:p w14:paraId="0AFD90DB" w14:textId="77777777" w:rsidR="002C0A91" w:rsidRPr="002C0A91" w:rsidRDefault="002C0A91" w:rsidP="002C0A91">
      <w:pPr>
        <w:numPr>
          <w:ilvl w:val="0"/>
          <w:numId w:val="5"/>
        </w:numPr>
        <w:tabs>
          <w:tab w:val="clear" w:pos="360"/>
          <w:tab w:val="num" w:pos="720"/>
        </w:tabs>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Risk Assessment</w:t>
      </w:r>
    </w:p>
    <w:p w14:paraId="3CAAE140"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lastRenderedPageBreak/>
        <w:t>"Risk Assessment" means any assessment relating to legal risks, financial risks, technical risks, operational risks, regulatory risks, environmental risks, commercial risks, or transaction risks.</w:t>
      </w:r>
    </w:p>
    <w:p w14:paraId="029016DE" w14:textId="77777777" w:rsidR="002C0A91" w:rsidRPr="002C0A91" w:rsidRDefault="002C0A91" w:rsidP="002C0A91">
      <w:pPr>
        <w:numPr>
          <w:ilvl w:val="0"/>
          <w:numId w:val="6"/>
        </w:numPr>
        <w:tabs>
          <w:tab w:val="clear" w:pos="360"/>
          <w:tab w:val="num" w:pos="720"/>
        </w:tabs>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Due Diligence Documentation</w:t>
      </w:r>
    </w:p>
    <w:p w14:paraId="17F47DD5" w14:textId="2D4E9FA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"Due Diligence Documentation" means reports, findings, checklists, audit reports, legal reviews, technical reviews, financial reviews, environmental assessments, compliance reviews, management presentations, and related materials.</w:t>
      </w:r>
    </w:p>
    <w:p w14:paraId="198C1233" w14:textId="77777777" w:rsidR="002C0A91" w:rsidRPr="002C0A91" w:rsidRDefault="002C0A91" w:rsidP="002C0A91">
      <w:pPr>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t>D. CONFIDENTIAL INFORMATION EXPANSION</w:t>
      </w:r>
    </w:p>
    <w:p w14:paraId="2DA2DC63"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Without limitation, Confidential Information includes:</w:t>
      </w:r>
    </w:p>
    <w:p w14:paraId="5BED7BBC"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(a) legal due diligence reports, legal assessments, litigation analyses, title reviews, contractual reviews, compliance reviews, and governance assessments;</w:t>
      </w:r>
    </w:p>
    <w:p w14:paraId="40B0B6DC"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(b) technical due diligence reports, engineering assessments, performance assessments, equipment evaluations, resource assessments, degradation studies, and operational analyses;</w:t>
      </w:r>
    </w:p>
    <w:p w14:paraId="5663EE69"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(c) financial due diligence reports, financial statements, management accounts, budgets, forecasts, financial models, debt analyses, and valuation assessments;</w:t>
      </w:r>
    </w:p>
    <w:p w14:paraId="52BE1FD7"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(d) tax due diligence reports, tax assessments, tax liabilities, tax compliance records, tax planning information, and tax risk analyses;</w:t>
      </w:r>
    </w:p>
    <w:p w14:paraId="62D851F2"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(e) environmental assessments, environmental compliance reports, environmental approvals, environmental audits, and environmental risk assessments;</w:t>
      </w:r>
    </w:p>
    <w:p w14:paraId="1FCC9EC3"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(f) regulatory assessments, permit reviews, approval reviews, licensing reviews, compliance reports, governmental correspondence, and policy assessments;</w:t>
      </w:r>
    </w:p>
    <w:p w14:paraId="07F35D42"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(g) operational reports, generation reports, availability reports, maintenance records, asset performance reports, incident reports, and operational assessments;</w:t>
      </w:r>
    </w:p>
    <w:p w14:paraId="1E4D6C38"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(h) project agreements, PPAs, EPC agreements, O&amp;M agreements, land agreements, financing agreements, shareholder agreements, supply agreements, and transaction documents;</w:t>
      </w:r>
    </w:p>
    <w:p w14:paraId="1B3D5F83"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w:t>
      </w:r>
      <w:proofErr w:type="spellStart"/>
      <w:r w:rsidRPr="002C0A91">
        <w:rPr>
          <w:rFonts w:ascii="Times New Roman" w:hAnsi="Times New Roman" w:cs="Times New Roman"/>
          <w:color w:val="156082" w:themeColor="accent1"/>
        </w:rPr>
        <w:t>i</w:t>
      </w:r>
      <w:proofErr w:type="spellEnd"/>
      <w:r w:rsidRPr="002C0A91">
        <w:rPr>
          <w:rFonts w:ascii="Times New Roman" w:hAnsi="Times New Roman" w:cs="Times New Roman"/>
          <w:color w:val="156082" w:themeColor="accent1"/>
        </w:rPr>
        <w:t>) data room materials, management presentations, board materials, transaction memoranda, investor presentations, and transaction analyses;</w:t>
      </w:r>
    </w:p>
    <w:p w14:paraId="1C85DCCA"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(j) ownership structures, shareholding information, governance arrangements, management information, organizational information, and stakeholder information;</w:t>
      </w:r>
    </w:p>
    <w:p w14:paraId="5673EDB3"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(k) risk registers, risk analyses, mitigation plans, insurance information, claims information, contingency plans, and business continuity plans;</w:t>
      </w:r>
    </w:p>
    <w:p w14:paraId="3872CE56"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(l) acquisition opportunities, financing opportunities, investment opportunities, refinancing opportunities, portfolio opportunities, and strategic transaction opportunities; and</w:t>
      </w:r>
    </w:p>
    <w:p w14:paraId="07BD8BD4" w14:textId="56EFDC02"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(m) any other commercial, financial, technical, operational, legal, regulatory, environmental, compliance-related, due-diligence-related, renewable-energy-related, strategic, or proprietary information disclosed in connection with the Due Diligence Process.</w:t>
      </w:r>
    </w:p>
    <w:p w14:paraId="0DA9EFDA" w14:textId="77777777" w:rsidR="002C0A91" w:rsidRPr="002C0A91" w:rsidRDefault="002C0A91" w:rsidP="002C0A91">
      <w:pPr>
        <w:jc w:val="both"/>
        <w:rPr>
          <w:rFonts w:ascii="Times New Roman" w:hAnsi="Times New Roman" w:cs="Times New Roman"/>
          <w:b/>
          <w:bCs/>
          <w:color w:val="156082" w:themeColor="accent1"/>
        </w:rPr>
      </w:pPr>
      <w:r w:rsidRPr="002C0A91">
        <w:rPr>
          <w:rFonts w:ascii="Times New Roman" w:hAnsi="Times New Roman" w:cs="Times New Roman"/>
          <w:b/>
          <w:bCs/>
          <w:color w:val="156082" w:themeColor="accent1"/>
        </w:rPr>
        <w:lastRenderedPageBreak/>
        <w:t>E. OPTIONAL INTRODUCED CONTACTS DATASET</w:t>
      </w:r>
    </w:p>
    <w:p w14:paraId="4B633BA3"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Project Owners</w:t>
      </w:r>
    </w:p>
    <w:p w14:paraId="38F3B3F5"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Project Developers</w:t>
      </w:r>
    </w:p>
    <w:p w14:paraId="784B8C60"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Asset Managers</w:t>
      </w:r>
    </w:p>
    <w:p w14:paraId="05553EEE"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Infrastructure Funds</w:t>
      </w:r>
    </w:p>
    <w:p w14:paraId="325BF446"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Private Equity Funds</w:t>
      </w:r>
    </w:p>
    <w:p w14:paraId="0CB6E3AB"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Strategic Investors</w:t>
      </w:r>
    </w:p>
    <w:p w14:paraId="5F48E079"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Lenders</w:t>
      </w:r>
    </w:p>
    <w:p w14:paraId="09D87B7F"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Banks</w:t>
      </w:r>
    </w:p>
    <w:p w14:paraId="51065C13"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Independent Engineers</w:t>
      </w:r>
    </w:p>
    <w:p w14:paraId="7C0733CB"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Technical Advisors</w:t>
      </w:r>
    </w:p>
    <w:p w14:paraId="3B5AEC5B"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Financial Advisors</w:t>
      </w:r>
    </w:p>
    <w:p w14:paraId="2A2A3168"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Legal Advisors</w:t>
      </w:r>
    </w:p>
    <w:p w14:paraId="2FB62E29"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Tax Advisors</w:t>
      </w:r>
    </w:p>
    <w:p w14:paraId="7B15AA64"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Environmental Consultants</w:t>
      </w:r>
    </w:p>
    <w:p w14:paraId="0936B3D2"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ESG Consultants</w:t>
      </w:r>
    </w:p>
    <w:p w14:paraId="129D2B93"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Insurance Advisors</w:t>
      </w:r>
    </w:p>
    <w:p w14:paraId="329D674B"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Regulatory Consultants</w:t>
      </w:r>
    </w:p>
    <w:p w14:paraId="5B906742"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Government Authorities</w:t>
      </w:r>
    </w:p>
    <w:p w14:paraId="4DD645F6"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Portfolio Owners</w:t>
      </w:r>
    </w:p>
    <w:p w14:paraId="3046D94B" w14:textId="77777777" w:rsidR="002C0A91" w:rsidRPr="002C0A91" w:rsidRDefault="002C0A91" w:rsidP="002C0A91">
      <w:pPr>
        <w:jc w:val="both"/>
        <w:rPr>
          <w:rFonts w:ascii="Times New Roman" w:hAnsi="Times New Roman" w:cs="Times New Roman"/>
          <w:color w:val="156082" w:themeColor="accent1"/>
        </w:rPr>
      </w:pPr>
      <w:r w:rsidRPr="002C0A91">
        <w:rPr>
          <w:rFonts w:ascii="Times New Roman" w:hAnsi="Times New Roman" w:cs="Times New Roman"/>
          <w:color w:val="156082" w:themeColor="accent1"/>
        </w:rPr>
        <w:t>Strategic Partners</w:t>
      </w:r>
    </w:p>
    <w:p w14:paraId="158AB71C" w14:textId="77777777" w:rsidR="002C0A91" w:rsidRPr="002C0A91" w:rsidRDefault="002C0A91" w:rsidP="002C0A91">
      <w:pPr>
        <w:jc w:val="both"/>
        <w:rPr>
          <w:rFonts w:ascii="Times New Roman" w:hAnsi="Times New Roman" w:cs="Times New Roman"/>
          <w:color w:val="156082" w:themeColor="accent1"/>
        </w:rPr>
      </w:pPr>
    </w:p>
    <w:sectPr w:rsidR="002C0A91" w:rsidRPr="002C0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75B80"/>
    <w:multiLevelType w:val="multilevel"/>
    <w:tmpl w:val="EAA6716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3E211B9"/>
    <w:multiLevelType w:val="multilevel"/>
    <w:tmpl w:val="366416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31821D9"/>
    <w:multiLevelType w:val="multilevel"/>
    <w:tmpl w:val="5E50AE5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C3B32B0"/>
    <w:multiLevelType w:val="multilevel"/>
    <w:tmpl w:val="98DA6AE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F0A4FDC"/>
    <w:multiLevelType w:val="multilevel"/>
    <w:tmpl w:val="C4D83F5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F1C7727"/>
    <w:multiLevelType w:val="multilevel"/>
    <w:tmpl w:val="E9A631B0"/>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94651980">
    <w:abstractNumId w:val="1"/>
  </w:num>
  <w:num w:numId="2" w16cid:durableId="1645239035">
    <w:abstractNumId w:val="4"/>
  </w:num>
  <w:num w:numId="3" w16cid:durableId="52899193">
    <w:abstractNumId w:val="0"/>
  </w:num>
  <w:num w:numId="4" w16cid:durableId="1705326296">
    <w:abstractNumId w:val="2"/>
  </w:num>
  <w:num w:numId="5" w16cid:durableId="2010717911">
    <w:abstractNumId w:val="3"/>
  </w:num>
  <w:num w:numId="6" w16cid:durableId="15302938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A91"/>
    <w:rsid w:val="000A7ED5"/>
    <w:rsid w:val="002C0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7013"/>
  <w15:chartTrackingRefBased/>
  <w15:docId w15:val="{AA22A036-C45F-4036-B899-19AB5AE20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A91"/>
    <w:rPr>
      <w:rFonts w:eastAsiaTheme="majorEastAsia" w:cstheme="majorBidi"/>
      <w:color w:val="272727" w:themeColor="text1" w:themeTint="D8"/>
    </w:rPr>
  </w:style>
  <w:style w:type="paragraph" w:styleId="Title">
    <w:name w:val="Title"/>
    <w:basedOn w:val="Normal"/>
    <w:next w:val="Normal"/>
    <w:link w:val="TitleChar"/>
    <w:uiPriority w:val="10"/>
    <w:qFormat/>
    <w:rsid w:val="002C0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A91"/>
    <w:pPr>
      <w:spacing w:before="160"/>
      <w:jc w:val="center"/>
    </w:pPr>
    <w:rPr>
      <w:i/>
      <w:iCs/>
      <w:color w:val="404040" w:themeColor="text1" w:themeTint="BF"/>
    </w:rPr>
  </w:style>
  <w:style w:type="character" w:customStyle="1" w:styleId="QuoteChar">
    <w:name w:val="Quote Char"/>
    <w:basedOn w:val="DefaultParagraphFont"/>
    <w:link w:val="Quote"/>
    <w:uiPriority w:val="29"/>
    <w:rsid w:val="002C0A91"/>
    <w:rPr>
      <w:i/>
      <w:iCs/>
      <w:color w:val="404040" w:themeColor="text1" w:themeTint="BF"/>
    </w:rPr>
  </w:style>
  <w:style w:type="paragraph" w:styleId="ListParagraph">
    <w:name w:val="List Paragraph"/>
    <w:basedOn w:val="Normal"/>
    <w:uiPriority w:val="34"/>
    <w:qFormat/>
    <w:rsid w:val="002C0A91"/>
    <w:pPr>
      <w:ind w:left="720"/>
      <w:contextualSpacing/>
    </w:pPr>
  </w:style>
  <w:style w:type="character" w:styleId="IntenseEmphasis">
    <w:name w:val="Intense Emphasis"/>
    <w:basedOn w:val="DefaultParagraphFont"/>
    <w:uiPriority w:val="21"/>
    <w:qFormat/>
    <w:rsid w:val="002C0A91"/>
    <w:rPr>
      <w:i/>
      <w:iCs/>
      <w:color w:val="0F4761" w:themeColor="accent1" w:themeShade="BF"/>
    </w:rPr>
  </w:style>
  <w:style w:type="paragraph" w:styleId="IntenseQuote">
    <w:name w:val="Intense Quote"/>
    <w:basedOn w:val="Normal"/>
    <w:next w:val="Normal"/>
    <w:link w:val="IntenseQuoteChar"/>
    <w:uiPriority w:val="30"/>
    <w:qFormat/>
    <w:rsid w:val="002C0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A91"/>
    <w:rPr>
      <w:i/>
      <w:iCs/>
      <w:color w:val="0F4761" w:themeColor="accent1" w:themeShade="BF"/>
    </w:rPr>
  </w:style>
  <w:style w:type="character" w:styleId="IntenseReference">
    <w:name w:val="Intense Reference"/>
    <w:basedOn w:val="DefaultParagraphFont"/>
    <w:uiPriority w:val="32"/>
    <w:qFormat/>
    <w:rsid w:val="002C0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2026-06-10T17:10:00Z</dcterms:created>
  <dcterms:modified xsi:type="dcterms:W3CDTF">2026-06-10T17:12:00Z</dcterms:modified>
</cp:coreProperties>
</file>