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0B85" w14:textId="77777777" w:rsidR="00264002" w:rsidRPr="00264002" w:rsidRDefault="00264002" w:rsidP="00264002">
      <w:pPr>
        <w:jc w:val="center"/>
        <w:rPr>
          <w:rFonts w:ascii="Times New Roman" w:hAnsi="Times New Roman" w:cs="Times New Roman"/>
          <w:b/>
          <w:bCs/>
          <w:color w:val="156082" w:themeColor="accent1"/>
          <w:u w:val="single"/>
        </w:rPr>
      </w:pPr>
      <w:r w:rsidRPr="00264002">
        <w:rPr>
          <w:rFonts w:ascii="Times New Roman" w:hAnsi="Times New Roman" w:cs="Times New Roman"/>
          <w:b/>
          <w:bCs/>
          <w:color w:val="156082" w:themeColor="accent1"/>
          <w:u w:val="single"/>
        </w:rPr>
        <w:t>RE-34 – REGULATORY COMPLIANCE DISCUSSIONS</w:t>
      </w:r>
    </w:p>
    <w:p w14:paraId="55159B52" w14:textId="77777777" w:rsidR="00264002" w:rsidRPr="00264002" w:rsidRDefault="00264002" w:rsidP="00264002">
      <w:pPr>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A. PURPOSE DEFINITION</w:t>
      </w:r>
    </w:p>
    <w:p w14:paraId="17E6793F" w14:textId="7514926B"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"Purpose" means the evaluation, discussion, assessment, review, monitoring, implementation, management, verification, auditing, remediation, or potential compliance with applicable laws, regulations, licenses, permits, approvals, governmental requirements, industry standards, and regulatory obligations relating to renewable energy projects, renewable energy assets, project companies, or associated infrastructure.</w:t>
      </w:r>
    </w:p>
    <w:p w14:paraId="7FC618C2" w14:textId="77777777" w:rsidR="00264002" w:rsidRPr="00264002" w:rsidRDefault="00264002" w:rsidP="00264002">
      <w:pPr>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B. RECITAL VARIANT</w:t>
      </w:r>
    </w:p>
    <w:p w14:paraId="6DB0D77D" w14:textId="77777777" w:rsidR="00264002" w:rsidRPr="00264002" w:rsidRDefault="00264002" w:rsidP="00264002">
      <w:pPr>
        <w:jc w:val="both"/>
        <w:rPr>
          <w:rFonts w:ascii="Times New Roman" w:hAnsi="Times New Roman" w:cs="Times New Roman"/>
          <w:color w:val="156082" w:themeColor="accent1"/>
        </w:rPr>
      </w:pPr>
      <w:proofErr w:type="gramStart"/>
      <w:r w:rsidRPr="00264002">
        <w:rPr>
          <w:rFonts w:ascii="Times New Roman" w:hAnsi="Times New Roman" w:cs="Times New Roman"/>
          <w:color w:val="156082" w:themeColor="accent1"/>
        </w:rPr>
        <w:t>WHEREAS,</w:t>
      </w:r>
      <w:proofErr w:type="gramEnd"/>
      <w:r w:rsidRPr="00264002">
        <w:rPr>
          <w:rFonts w:ascii="Times New Roman" w:hAnsi="Times New Roman" w:cs="Times New Roman"/>
          <w:color w:val="156082" w:themeColor="accent1"/>
        </w:rPr>
        <w:t xml:space="preserve"> the Parties desire to evaluate and discuss regulatory compliance obligations, licensing requirements, approval requirements, regulatory risks, compliance initiatives, or related commercial arrangements concerning renewable energy projects and infrastructure assets;</w:t>
      </w:r>
    </w:p>
    <w:p w14:paraId="3447D0EB"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WHEREAS, in connection with such discussions, evaluations, audits, compliance reviews, regulatory assessments, and transaction activities, the Parties may disclose and exchange confidential legal, commercial, financial, technical, operational, regulatory, and proprietary information;</w:t>
      </w:r>
    </w:p>
    <w:p w14:paraId="5EEC6752" w14:textId="4CDD28ED" w:rsidR="00264002" w:rsidRPr="00264002" w:rsidRDefault="00264002" w:rsidP="00264002">
      <w:pPr>
        <w:jc w:val="both"/>
        <w:rPr>
          <w:rFonts w:ascii="Times New Roman" w:hAnsi="Times New Roman" w:cs="Times New Roman"/>
          <w:color w:val="156082" w:themeColor="accent1"/>
        </w:rPr>
      </w:pPr>
      <w:proofErr w:type="gramStart"/>
      <w:r w:rsidRPr="00264002">
        <w:rPr>
          <w:rFonts w:ascii="Times New Roman" w:hAnsi="Times New Roman" w:cs="Times New Roman"/>
          <w:color w:val="156082" w:themeColor="accent1"/>
        </w:rPr>
        <w:t>WHEREAS,</w:t>
      </w:r>
      <w:proofErr w:type="gramEnd"/>
      <w:r w:rsidRPr="00264002">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2E44AF26" w14:textId="77777777" w:rsidR="00264002" w:rsidRPr="00264002" w:rsidRDefault="00264002" w:rsidP="00264002">
      <w:pPr>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C. ADDITIONAL DEFINITIONS</w:t>
      </w:r>
    </w:p>
    <w:p w14:paraId="1C001009" w14:textId="77777777" w:rsidR="00264002" w:rsidRPr="00264002" w:rsidRDefault="00264002" w:rsidP="00264002">
      <w:pPr>
        <w:numPr>
          <w:ilvl w:val="0"/>
          <w:numId w:val="1"/>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Regulatory Compliance</w:t>
      </w:r>
    </w:p>
    <w:p w14:paraId="4973EAD5"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"Regulatory Compliance" means compliance with applicable laws, regulations, rules, codes, guidelines, directives, orders, permits, licenses, approvals, governmental requirements, and regulatory obligations.</w:t>
      </w:r>
    </w:p>
    <w:p w14:paraId="7F04C4BE" w14:textId="77777777" w:rsidR="00264002" w:rsidRPr="00264002" w:rsidRDefault="00264002" w:rsidP="00264002">
      <w:pPr>
        <w:numPr>
          <w:ilvl w:val="0"/>
          <w:numId w:val="2"/>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Regulatory Requirement</w:t>
      </w:r>
    </w:p>
    <w:p w14:paraId="74FCA548"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"Regulatory Requirement" means any obligation imposed by a governmental authority, regulatory authority, utility, transmission operator, licensing authority, environmental authority, or other competent authority.</w:t>
      </w:r>
    </w:p>
    <w:p w14:paraId="1B5DA987" w14:textId="77777777" w:rsidR="00264002" w:rsidRPr="00264002" w:rsidRDefault="00264002" w:rsidP="00264002">
      <w:pPr>
        <w:numPr>
          <w:ilvl w:val="0"/>
          <w:numId w:val="3"/>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Compliance Information</w:t>
      </w:r>
    </w:p>
    <w:p w14:paraId="733D68F2"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"Compliance Information" means information relating to regulatory obligations, compliance status, compliance reviews, compliance risks, corrective actions, and regulatory assessments.</w:t>
      </w:r>
    </w:p>
    <w:p w14:paraId="15F00201" w14:textId="77777777" w:rsidR="00264002" w:rsidRPr="00264002" w:rsidRDefault="00264002" w:rsidP="00264002">
      <w:pPr>
        <w:numPr>
          <w:ilvl w:val="0"/>
          <w:numId w:val="4"/>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Regulatory Approval</w:t>
      </w:r>
    </w:p>
    <w:p w14:paraId="33899E08"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"Regulatory Approval" means any permit, consent, authorization, registration, certification, approval, license, clearance, exemption, or governmental authorization required for a project.</w:t>
      </w:r>
    </w:p>
    <w:p w14:paraId="41805F30" w14:textId="77777777" w:rsidR="00264002" w:rsidRPr="00264002" w:rsidRDefault="00264002" w:rsidP="00264002">
      <w:pPr>
        <w:numPr>
          <w:ilvl w:val="0"/>
          <w:numId w:val="5"/>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Regulatory Authority</w:t>
      </w:r>
    </w:p>
    <w:p w14:paraId="74D09CCF"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lastRenderedPageBreak/>
        <w:t>"Regulatory Authority" means any governmental body, ministry, commission, agency, department, utility regulator, electricity regulator, environmental regulator, or competent authority having jurisdiction.</w:t>
      </w:r>
    </w:p>
    <w:p w14:paraId="021CB261" w14:textId="77777777" w:rsidR="00264002" w:rsidRPr="00264002" w:rsidRDefault="00264002" w:rsidP="00264002">
      <w:pPr>
        <w:numPr>
          <w:ilvl w:val="0"/>
          <w:numId w:val="6"/>
        </w:numPr>
        <w:tabs>
          <w:tab w:val="clear" w:pos="360"/>
          <w:tab w:val="num" w:pos="720"/>
        </w:tabs>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Compliance Documentation</w:t>
      </w:r>
    </w:p>
    <w:p w14:paraId="25C14254" w14:textId="117B7CEC"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"Compliance Documentation" means licenses, permits, approvals, registrations, filings, applications, correspondence, audit reports, compliance reports, certifications, and related documentation.</w:t>
      </w:r>
    </w:p>
    <w:p w14:paraId="021A5441" w14:textId="77777777" w:rsidR="00264002" w:rsidRPr="00264002" w:rsidRDefault="00264002" w:rsidP="00264002">
      <w:pPr>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D. CONFIDENTIAL INFORMATION EXPANSION</w:t>
      </w:r>
    </w:p>
    <w:p w14:paraId="471EFCE2"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Without limitation, Confidential Information includes:</w:t>
      </w:r>
    </w:p>
    <w:p w14:paraId="0AD83795"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(a) regulatory approvals, permits, licenses, registrations, certifications, exemptions, and governmental authorizations;</w:t>
      </w:r>
    </w:p>
    <w:p w14:paraId="23D9129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(b) compliance reviews, compliance audits, compliance assessments, regulatory gap analyses, compliance monitoring reports, and corrective action plans;</w:t>
      </w:r>
    </w:p>
    <w:p w14:paraId="59AA0A6F"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(c) regulatory filings, governmental submissions, applications, responses, correspondence, notices, and communications with authorities;</w:t>
      </w:r>
    </w:p>
    <w:p w14:paraId="6B5F2248"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(d) project compliance status, licensing status, approval status, permit conditions, compliance obligations, and regulatory requirements;</w:t>
      </w:r>
    </w:p>
    <w:p w14:paraId="3BB31BD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(e) legal opinions, regulatory opinions, compliance memoranda, advisory reports, legal analyses, and regulatory assessments;</w:t>
      </w:r>
    </w:p>
    <w:p w14:paraId="613EFDE9"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(f) regulatory investigations, inspections, enforcement actions, notices, penalties, disputes, non-compliance findings, and remediation activities;</w:t>
      </w:r>
    </w:p>
    <w:p w14:paraId="489FBD7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(g) grid compliance information, transmission compliance information, scheduling compliance information, operational compliance information, and reporting obligations;</w:t>
      </w:r>
    </w:p>
    <w:p w14:paraId="3333842C"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(h) environmental approvals, land approvals, construction approvals, operational approvals, and statutory compliance documentation;</w:t>
      </w:r>
    </w:p>
    <w:p w14:paraId="5A6269F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w:t>
      </w:r>
      <w:proofErr w:type="spellStart"/>
      <w:r w:rsidRPr="00264002">
        <w:rPr>
          <w:rFonts w:ascii="Times New Roman" w:hAnsi="Times New Roman" w:cs="Times New Roman"/>
          <w:color w:val="156082" w:themeColor="accent1"/>
        </w:rPr>
        <w:t>i</w:t>
      </w:r>
      <w:proofErr w:type="spellEnd"/>
      <w:r w:rsidRPr="00264002">
        <w:rPr>
          <w:rFonts w:ascii="Times New Roman" w:hAnsi="Times New Roman" w:cs="Times New Roman"/>
          <w:color w:val="156082" w:themeColor="accent1"/>
        </w:rPr>
        <w:t>) project financial impacts arising from regulatory changes, compliance costs, penalties, regulatory risks, and mitigation strategies;</w:t>
      </w:r>
    </w:p>
    <w:p w14:paraId="0C873A37"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(j) policy analyses, legislative developments, regulatory reforms, market rule changes, and compliance impact assessments;</w:t>
      </w:r>
    </w:p>
    <w:p w14:paraId="3AD10687"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(k) due diligence findings relating to compliance matters, regulatory risks, permit risks, and licensing risks;</w:t>
      </w:r>
    </w:p>
    <w:p w14:paraId="7FF44BDF"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(l) strategic regulatory initiatives, policy engagement activities, stakeholder consultations, and governmental engagement strategies; and</w:t>
      </w:r>
    </w:p>
    <w:p w14:paraId="239D8D5A" w14:textId="07AB259E"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lastRenderedPageBreak/>
        <w:t>(m) any other legal, commercial, financial, technical, operational, compliance-related, regulatory-related, renewable-energy-related, strategic, or proprietary information disclosed in connection with Regulatory Compliance.</w:t>
      </w:r>
    </w:p>
    <w:p w14:paraId="6E447216" w14:textId="77777777" w:rsidR="00264002" w:rsidRPr="00264002" w:rsidRDefault="00264002" w:rsidP="00264002">
      <w:pPr>
        <w:jc w:val="both"/>
        <w:rPr>
          <w:rFonts w:ascii="Times New Roman" w:hAnsi="Times New Roman" w:cs="Times New Roman"/>
          <w:b/>
          <w:bCs/>
          <w:color w:val="156082" w:themeColor="accent1"/>
        </w:rPr>
      </w:pPr>
      <w:r w:rsidRPr="00264002">
        <w:rPr>
          <w:rFonts w:ascii="Times New Roman" w:hAnsi="Times New Roman" w:cs="Times New Roman"/>
          <w:b/>
          <w:bCs/>
          <w:color w:val="156082" w:themeColor="accent1"/>
        </w:rPr>
        <w:t>E. OPTIONAL INTRODUCED CONTACTS DATASET</w:t>
      </w:r>
    </w:p>
    <w:p w14:paraId="52D99F44"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Regulatory Authorities</w:t>
      </w:r>
    </w:p>
    <w:p w14:paraId="01BFD57D"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Electricity Regulatory Commissions</w:t>
      </w:r>
    </w:p>
    <w:p w14:paraId="376DD176"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Government Ministries</w:t>
      </w:r>
    </w:p>
    <w:p w14:paraId="0B09666D"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Government Departments</w:t>
      </w:r>
    </w:p>
    <w:p w14:paraId="02AB23D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DISCOMs</w:t>
      </w:r>
    </w:p>
    <w:p w14:paraId="7A89AF96"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SLDCs</w:t>
      </w:r>
    </w:p>
    <w:p w14:paraId="0F220336"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RLDCs</w:t>
      </w:r>
    </w:p>
    <w:p w14:paraId="26E1E072"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NLDC</w:t>
      </w:r>
    </w:p>
    <w:p w14:paraId="426C473C"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Transmission Utilities</w:t>
      </w:r>
    </w:p>
    <w:p w14:paraId="4EF5B01F"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Project Developers</w:t>
      </w:r>
    </w:p>
    <w:p w14:paraId="4272819C"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Project Owners</w:t>
      </w:r>
    </w:p>
    <w:p w14:paraId="3DE30A2D"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Legal Advisors</w:t>
      </w:r>
    </w:p>
    <w:p w14:paraId="4A0A2548"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Regulatory Consultants</w:t>
      </w:r>
    </w:p>
    <w:p w14:paraId="02451932"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Compliance Consultants</w:t>
      </w:r>
    </w:p>
    <w:p w14:paraId="2FE44511"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Environmental Authorities</w:t>
      </w:r>
    </w:p>
    <w:p w14:paraId="633A75F7"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Independent Engineers</w:t>
      </w:r>
    </w:p>
    <w:p w14:paraId="54CC7EF0"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Investors</w:t>
      </w:r>
    </w:p>
    <w:p w14:paraId="442EA0D8"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Lenders</w:t>
      </w:r>
    </w:p>
    <w:p w14:paraId="4BDD4846"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Banks</w:t>
      </w:r>
    </w:p>
    <w:p w14:paraId="032A7C0D" w14:textId="77777777" w:rsidR="00264002" w:rsidRPr="00264002" w:rsidRDefault="00264002" w:rsidP="00264002">
      <w:pPr>
        <w:jc w:val="both"/>
        <w:rPr>
          <w:rFonts w:ascii="Times New Roman" w:hAnsi="Times New Roman" w:cs="Times New Roman"/>
          <w:color w:val="156082" w:themeColor="accent1"/>
        </w:rPr>
      </w:pPr>
      <w:r w:rsidRPr="00264002">
        <w:rPr>
          <w:rFonts w:ascii="Times New Roman" w:hAnsi="Times New Roman" w:cs="Times New Roman"/>
          <w:color w:val="156082" w:themeColor="accent1"/>
        </w:rPr>
        <w:t>Strategic Partners</w:t>
      </w:r>
    </w:p>
    <w:p w14:paraId="44D01866" w14:textId="77777777" w:rsidR="00264002" w:rsidRPr="00264002" w:rsidRDefault="00264002" w:rsidP="00264002">
      <w:pPr>
        <w:jc w:val="both"/>
        <w:rPr>
          <w:rFonts w:ascii="Times New Roman" w:hAnsi="Times New Roman" w:cs="Times New Roman"/>
          <w:color w:val="156082" w:themeColor="accent1"/>
        </w:rPr>
      </w:pPr>
    </w:p>
    <w:sectPr w:rsidR="00264002" w:rsidRPr="002640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92AAE"/>
    <w:multiLevelType w:val="multilevel"/>
    <w:tmpl w:val="187C9D3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5E86A4A"/>
    <w:multiLevelType w:val="multilevel"/>
    <w:tmpl w:val="BE6A827E"/>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6B266A56"/>
    <w:multiLevelType w:val="multilevel"/>
    <w:tmpl w:val="7E96CB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DFF21A9"/>
    <w:multiLevelType w:val="multilevel"/>
    <w:tmpl w:val="F378D1F2"/>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5226F7F"/>
    <w:multiLevelType w:val="multilevel"/>
    <w:tmpl w:val="62420616"/>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C301782"/>
    <w:multiLevelType w:val="multilevel"/>
    <w:tmpl w:val="0BB2217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53059944">
    <w:abstractNumId w:val="2"/>
  </w:num>
  <w:num w:numId="2" w16cid:durableId="1413893041">
    <w:abstractNumId w:val="5"/>
  </w:num>
  <w:num w:numId="3" w16cid:durableId="387730881">
    <w:abstractNumId w:val="0"/>
  </w:num>
  <w:num w:numId="4" w16cid:durableId="1195074762">
    <w:abstractNumId w:val="1"/>
  </w:num>
  <w:num w:numId="5" w16cid:durableId="1452475034">
    <w:abstractNumId w:val="3"/>
  </w:num>
  <w:num w:numId="6" w16cid:durableId="19436856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02"/>
    <w:rsid w:val="000A7ED5"/>
    <w:rsid w:val="002640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CF0D"/>
  <w15:chartTrackingRefBased/>
  <w15:docId w15:val="{F56192E9-87B0-4E54-9649-5B5A6A83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0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40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40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40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40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40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0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0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0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0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40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40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40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40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40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0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0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002"/>
    <w:rPr>
      <w:rFonts w:eastAsiaTheme="majorEastAsia" w:cstheme="majorBidi"/>
      <w:color w:val="272727" w:themeColor="text1" w:themeTint="D8"/>
    </w:rPr>
  </w:style>
  <w:style w:type="paragraph" w:styleId="Title">
    <w:name w:val="Title"/>
    <w:basedOn w:val="Normal"/>
    <w:next w:val="Normal"/>
    <w:link w:val="TitleChar"/>
    <w:uiPriority w:val="10"/>
    <w:qFormat/>
    <w:rsid w:val="002640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0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0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0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002"/>
    <w:pPr>
      <w:spacing w:before="160"/>
      <w:jc w:val="center"/>
    </w:pPr>
    <w:rPr>
      <w:i/>
      <w:iCs/>
      <w:color w:val="404040" w:themeColor="text1" w:themeTint="BF"/>
    </w:rPr>
  </w:style>
  <w:style w:type="character" w:customStyle="1" w:styleId="QuoteChar">
    <w:name w:val="Quote Char"/>
    <w:basedOn w:val="DefaultParagraphFont"/>
    <w:link w:val="Quote"/>
    <w:uiPriority w:val="29"/>
    <w:rsid w:val="00264002"/>
    <w:rPr>
      <w:i/>
      <w:iCs/>
      <w:color w:val="404040" w:themeColor="text1" w:themeTint="BF"/>
    </w:rPr>
  </w:style>
  <w:style w:type="paragraph" w:styleId="ListParagraph">
    <w:name w:val="List Paragraph"/>
    <w:basedOn w:val="Normal"/>
    <w:uiPriority w:val="34"/>
    <w:qFormat/>
    <w:rsid w:val="00264002"/>
    <w:pPr>
      <w:ind w:left="720"/>
      <w:contextualSpacing/>
    </w:pPr>
  </w:style>
  <w:style w:type="character" w:styleId="IntenseEmphasis">
    <w:name w:val="Intense Emphasis"/>
    <w:basedOn w:val="DefaultParagraphFont"/>
    <w:uiPriority w:val="21"/>
    <w:qFormat/>
    <w:rsid w:val="00264002"/>
    <w:rPr>
      <w:i/>
      <w:iCs/>
      <w:color w:val="0F4761" w:themeColor="accent1" w:themeShade="BF"/>
    </w:rPr>
  </w:style>
  <w:style w:type="paragraph" w:styleId="IntenseQuote">
    <w:name w:val="Intense Quote"/>
    <w:basedOn w:val="Normal"/>
    <w:next w:val="Normal"/>
    <w:link w:val="IntenseQuoteChar"/>
    <w:uiPriority w:val="30"/>
    <w:qFormat/>
    <w:rsid w:val="00264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4002"/>
    <w:rPr>
      <w:i/>
      <w:iCs/>
      <w:color w:val="0F4761" w:themeColor="accent1" w:themeShade="BF"/>
    </w:rPr>
  </w:style>
  <w:style w:type="character" w:styleId="IntenseReference">
    <w:name w:val="Intense Reference"/>
    <w:basedOn w:val="DefaultParagraphFont"/>
    <w:uiPriority w:val="32"/>
    <w:qFormat/>
    <w:rsid w:val="002640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2026-06-10T17:15:00Z</dcterms:created>
  <dcterms:modified xsi:type="dcterms:W3CDTF">2026-06-10T17:17:00Z</dcterms:modified>
</cp:coreProperties>
</file>