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7A7CF" w14:textId="77777777" w:rsidR="009D7ABF" w:rsidRPr="009D7ABF" w:rsidRDefault="009D7ABF" w:rsidP="009D7ABF">
      <w:pPr>
        <w:jc w:val="center"/>
        <w:rPr>
          <w:rFonts w:ascii="Times New Roman" w:hAnsi="Times New Roman" w:cs="Times New Roman"/>
          <w:b/>
          <w:bCs/>
          <w:color w:val="156082" w:themeColor="accent1"/>
          <w:u w:val="single"/>
        </w:rPr>
      </w:pPr>
      <w:r w:rsidRPr="009D7ABF">
        <w:rPr>
          <w:rFonts w:ascii="Times New Roman" w:hAnsi="Times New Roman" w:cs="Times New Roman"/>
          <w:b/>
          <w:bCs/>
          <w:color w:val="156082" w:themeColor="accent1"/>
          <w:u w:val="single"/>
        </w:rPr>
        <w:t>RE-35 – ENVIRONMENTAL &amp; SOCIAL COMPLIANCE DISCUSSIONS</w:t>
      </w:r>
    </w:p>
    <w:p w14:paraId="0E0D669A" w14:textId="77777777" w:rsidR="009D7ABF" w:rsidRPr="009D7ABF" w:rsidRDefault="009D7ABF" w:rsidP="009D7ABF">
      <w:pPr>
        <w:jc w:val="both"/>
        <w:rPr>
          <w:rFonts w:ascii="Times New Roman" w:hAnsi="Times New Roman" w:cs="Times New Roman"/>
          <w:b/>
          <w:bCs/>
          <w:color w:val="156082" w:themeColor="accent1"/>
        </w:rPr>
      </w:pPr>
      <w:r w:rsidRPr="009D7ABF">
        <w:rPr>
          <w:rFonts w:ascii="Times New Roman" w:hAnsi="Times New Roman" w:cs="Times New Roman"/>
          <w:b/>
          <w:bCs/>
          <w:color w:val="156082" w:themeColor="accent1"/>
        </w:rPr>
        <w:t>A. PURPOSE DEFINITION</w:t>
      </w:r>
    </w:p>
    <w:p w14:paraId="4CBBAA71" w14:textId="4AA7961E"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"Purpose" means the evaluation, discussion, assessment, review, implementation, monitoring, management, verification, auditing, remediation, or potential compliance with environmental laws, social obligations, sustainability requirements, stakeholder engagement obligations, environmental approvals, social safeguards, and related compliance requirements applicable to renewable energy projects, project companies, or associated infrastructure.</w:t>
      </w:r>
    </w:p>
    <w:p w14:paraId="56868DE3" w14:textId="77777777" w:rsidR="009D7ABF" w:rsidRPr="009D7ABF" w:rsidRDefault="009D7ABF" w:rsidP="009D7ABF">
      <w:pPr>
        <w:jc w:val="both"/>
        <w:rPr>
          <w:rFonts w:ascii="Times New Roman" w:hAnsi="Times New Roman" w:cs="Times New Roman"/>
          <w:b/>
          <w:bCs/>
          <w:color w:val="156082" w:themeColor="accent1"/>
        </w:rPr>
      </w:pPr>
      <w:r w:rsidRPr="009D7ABF">
        <w:rPr>
          <w:rFonts w:ascii="Times New Roman" w:hAnsi="Times New Roman" w:cs="Times New Roman"/>
          <w:b/>
          <w:bCs/>
          <w:color w:val="156082" w:themeColor="accent1"/>
        </w:rPr>
        <w:t>B. RECITAL VARIANT</w:t>
      </w:r>
    </w:p>
    <w:p w14:paraId="02FE1955" w14:textId="77777777" w:rsidR="009D7ABF" w:rsidRPr="009D7ABF" w:rsidRDefault="009D7ABF" w:rsidP="009D7ABF">
      <w:pPr>
        <w:jc w:val="both"/>
        <w:rPr>
          <w:rFonts w:ascii="Times New Roman" w:hAnsi="Times New Roman" w:cs="Times New Roman"/>
          <w:color w:val="156082" w:themeColor="accent1"/>
        </w:rPr>
      </w:pPr>
      <w:proofErr w:type="gramStart"/>
      <w:r w:rsidRPr="009D7ABF">
        <w:rPr>
          <w:rFonts w:ascii="Times New Roman" w:hAnsi="Times New Roman" w:cs="Times New Roman"/>
          <w:color w:val="156082" w:themeColor="accent1"/>
        </w:rPr>
        <w:t>WHEREAS,</w:t>
      </w:r>
      <w:proofErr w:type="gramEnd"/>
      <w:r w:rsidRPr="009D7ABF">
        <w:rPr>
          <w:rFonts w:ascii="Times New Roman" w:hAnsi="Times New Roman" w:cs="Times New Roman"/>
          <w:color w:val="156082" w:themeColor="accent1"/>
        </w:rPr>
        <w:t xml:space="preserve"> the Parties desire to evaluate and discuss environmental and social compliance obligations, environmental approvals, sustainability requirements, stakeholder engagement initiatives, environmental risks, social risks, or related commercial arrangements concerning renewable energy projects and infrastructure assets;</w:t>
      </w:r>
    </w:p>
    <w:p w14:paraId="691E7984"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WHEREAS, in connection with such discussions, evaluations, audits, environmental assessments, social assessments, compliance reviews, and transaction activities, the Parties may disclose and exchange confidential legal, commercial, financial, technical, operational, environmental, social, and proprietary information;</w:t>
      </w:r>
    </w:p>
    <w:p w14:paraId="1DAF2C9B" w14:textId="47DB3FAC" w:rsidR="009D7ABF" w:rsidRPr="009D7ABF" w:rsidRDefault="009D7ABF" w:rsidP="009D7ABF">
      <w:pPr>
        <w:jc w:val="both"/>
        <w:rPr>
          <w:rFonts w:ascii="Times New Roman" w:hAnsi="Times New Roman" w:cs="Times New Roman"/>
          <w:color w:val="156082" w:themeColor="accent1"/>
        </w:rPr>
      </w:pPr>
      <w:proofErr w:type="gramStart"/>
      <w:r w:rsidRPr="009D7ABF">
        <w:rPr>
          <w:rFonts w:ascii="Times New Roman" w:hAnsi="Times New Roman" w:cs="Times New Roman"/>
          <w:color w:val="156082" w:themeColor="accent1"/>
        </w:rPr>
        <w:t>WHEREAS,</w:t>
      </w:r>
      <w:proofErr w:type="gramEnd"/>
      <w:r w:rsidRPr="009D7ABF">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644EE6A3" w14:textId="77777777" w:rsidR="009D7ABF" w:rsidRPr="009D7ABF" w:rsidRDefault="009D7ABF" w:rsidP="009D7ABF">
      <w:pPr>
        <w:jc w:val="both"/>
        <w:rPr>
          <w:rFonts w:ascii="Times New Roman" w:hAnsi="Times New Roman" w:cs="Times New Roman"/>
          <w:b/>
          <w:bCs/>
          <w:color w:val="156082" w:themeColor="accent1"/>
        </w:rPr>
      </w:pPr>
      <w:r w:rsidRPr="009D7ABF">
        <w:rPr>
          <w:rFonts w:ascii="Times New Roman" w:hAnsi="Times New Roman" w:cs="Times New Roman"/>
          <w:b/>
          <w:bCs/>
          <w:color w:val="156082" w:themeColor="accent1"/>
        </w:rPr>
        <w:t>C. ADDITIONAL DEFINITIONS</w:t>
      </w:r>
    </w:p>
    <w:p w14:paraId="41F2DB20" w14:textId="77777777" w:rsidR="009D7ABF" w:rsidRPr="009D7ABF" w:rsidRDefault="009D7ABF" w:rsidP="009D7ABF">
      <w:pPr>
        <w:numPr>
          <w:ilvl w:val="0"/>
          <w:numId w:val="1"/>
        </w:numPr>
        <w:tabs>
          <w:tab w:val="clear" w:pos="360"/>
          <w:tab w:val="num" w:pos="720"/>
        </w:tabs>
        <w:jc w:val="both"/>
        <w:rPr>
          <w:rFonts w:ascii="Times New Roman" w:hAnsi="Times New Roman" w:cs="Times New Roman"/>
          <w:b/>
          <w:bCs/>
          <w:color w:val="156082" w:themeColor="accent1"/>
        </w:rPr>
      </w:pPr>
      <w:r w:rsidRPr="009D7ABF">
        <w:rPr>
          <w:rFonts w:ascii="Times New Roman" w:hAnsi="Times New Roman" w:cs="Times New Roman"/>
          <w:b/>
          <w:bCs/>
          <w:color w:val="156082" w:themeColor="accent1"/>
        </w:rPr>
        <w:t>Environmental Compliance</w:t>
      </w:r>
    </w:p>
    <w:p w14:paraId="1CCD2149"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"Environmental Compliance" means compliance with environmental laws, environmental permits, environmental approvals, environmental standards, environmental regulations, and environmental obligations applicable to a project.</w:t>
      </w:r>
    </w:p>
    <w:p w14:paraId="0482AC04" w14:textId="77777777" w:rsidR="009D7ABF" w:rsidRPr="009D7ABF" w:rsidRDefault="009D7ABF" w:rsidP="009D7ABF">
      <w:pPr>
        <w:numPr>
          <w:ilvl w:val="0"/>
          <w:numId w:val="2"/>
        </w:numPr>
        <w:tabs>
          <w:tab w:val="clear" w:pos="360"/>
          <w:tab w:val="num" w:pos="720"/>
        </w:tabs>
        <w:jc w:val="both"/>
        <w:rPr>
          <w:rFonts w:ascii="Times New Roman" w:hAnsi="Times New Roman" w:cs="Times New Roman"/>
          <w:b/>
          <w:bCs/>
          <w:color w:val="156082" w:themeColor="accent1"/>
        </w:rPr>
      </w:pPr>
      <w:r w:rsidRPr="009D7ABF">
        <w:rPr>
          <w:rFonts w:ascii="Times New Roman" w:hAnsi="Times New Roman" w:cs="Times New Roman"/>
          <w:b/>
          <w:bCs/>
          <w:color w:val="156082" w:themeColor="accent1"/>
        </w:rPr>
        <w:t>Social Compliance</w:t>
      </w:r>
    </w:p>
    <w:p w14:paraId="240DB54D"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 xml:space="preserve">"Social Compliance" means compliance with social safeguards, stakeholder engagement requirements, </w:t>
      </w:r>
      <w:proofErr w:type="spellStart"/>
      <w:r w:rsidRPr="009D7ABF">
        <w:rPr>
          <w:rFonts w:ascii="Times New Roman" w:hAnsi="Times New Roman" w:cs="Times New Roman"/>
          <w:color w:val="156082" w:themeColor="accent1"/>
        </w:rPr>
        <w:t>labor</w:t>
      </w:r>
      <w:proofErr w:type="spellEnd"/>
      <w:r w:rsidRPr="009D7ABF">
        <w:rPr>
          <w:rFonts w:ascii="Times New Roman" w:hAnsi="Times New Roman" w:cs="Times New Roman"/>
          <w:color w:val="156082" w:themeColor="accent1"/>
        </w:rPr>
        <w:t xml:space="preserve"> obligations, community obligations, resettlement requirements, human rights standards, and social impact mitigation obligations.</w:t>
      </w:r>
    </w:p>
    <w:p w14:paraId="3CF10604" w14:textId="77777777" w:rsidR="009D7ABF" w:rsidRPr="009D7ABF" w:rsidRDefault="009D7ABF" w:rsidP="009D7ABF">
      <w:pPr>
        <w:numPr>
          <w:ilvl w:val="0"/>
          <w:numId w:val="3"/>
        </w:numPr>
        <w:tabs>
          <w:tab w:val="clear" w:pos="360"/>
          <w:tab w:val="num" w:pos="720"/>
        </w:tabs>
        <w:jc w:val="both"/>
        <w:rPr>
          <w:rFonts w:ascii="Times New Roman" w:hAnsi="Times New Roman" w:cs="Times New Roman"/>
          <w:b/>
          <w:bCs/>
          <w:color w:val="156082" w:themeColor="accent1"/>
        </w:rPr>
      </w:pPr>
      <w:r w:rsidRPr="009D7ABF">
        <w:rPr>
          <w:rFonts w:ascii="Times New Roman" w:hAnsi="Times New Roman" w:cs="Times New Roman"/>
          <w:b/>
          <w:bCs/>
          <w:color w:val="156082" w:themeColor="accent1"/>
        </w:rPr>
        <w:t>Environmental Information</w:t>
      </w:r>
    </w:p>
    <w:p w14:paraId="0580A664"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"Environmental Information" means information relating to environmental impacts, environmental assessments, biodiversity considerations, pollution control measures, environmental monitoring, and environmental performance.</w:t>
      </w:r>
    </w:p>
    <w:p w14:paraId="337C0320" w14:textId="77777777" w:rsidR="009D7ABF" w:rsidRPr="009D7ABF" w:rsidRDefault="009D7ABF" w:rsidP="009D7ABF">
      <w:pPr>
        <w:numPr>
          <w:ilvl w:val="0"/>
          <w:numId w:val="4"/>
        </w:numPr>
        <w:tabs>
          <w:tab w:val="clear" w:pos="360"/>
          <w:tab w:val="num" w:pos="720"/>
        </w:tabs>
        <w:jc w:val="both"/>
        <w:rPr>
          <w:rFonts w:ascii="Times New Roman" w:hAnsi="Times New Roman" w:cs="Times New Roman"/>
          <w:b/>
          <w:bCs/>
          <w:color w:val="156082" w:themeColor="accent1"/>
        </w:rPr>
      </w:pPr>
      <w:r w:rsidRPr="009D7ABF">
        <w:rPr>
          <w:rFonts w:ascii="Times New Roman" w:hAnsi="Times New Roman" w:cs="Times New Roman"/>
          <w:b/>
          <w:bCs/>
          <w:color w:val="156082" w:themeColor="accent1"/>
        </w:rPr>
        <w:t>Social Information</w:t>
      </w:r>
    </w:p>
    <w:p w14:paraId="3790B054" w14:textId="1DAE7023"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"Social Information" means information relating to community engagement, stakeholder consultations, labo</w:t>
      </w:r>
      <w:r>
        <w:rPr>
          <w:rFonts w:ascii="Times New Roman" w:hAnsi="Times New Roman" w:cs="Times New Roman"/>
          <w:color w:val="156082" w:themeColor="accent1"/>
        </w:rPr>
        <w:t>u</w:t>
      </w:r>
      <w:r w:rsidRPr="009D7ABF">
        <w:rPr>
          <w:rFonts w:ascii="Times New Roman" w:hAnsi="Times New Roman" w:cs="Times New Roman"/>
          <w:color w:val="156082" w:themeColor="accent1"/>
        </w:rPr>
        <w:t>r practices, social impacts, resettlement activities, grievance mechanisms, and social performance.</w:t>
      </w:r>
    </w:p>
    <w:p w14:paraId="44C947DA" w14:textId="77777777" w:rsidR="009D7ABF" w:rsidRPr="009D7ABF" w:rsidRDefault="009D7ABF" w:rsidP="009D7ABF">
      <w:pPr>
        <w:numPr>
          <w:ilvl w:val="0"/>
          <w:numId w:val="5"/>
        </w:numPr>
        <w:tabs>
          <w:tab w:val="clear" w:pos="360"/>
          <w:tab w:val="num" w:pos="720"/>
        </w:tabs>
        <w:jc w:val="both"/>
        <w:rPr>
          <w:rFonts w:ascii="Times New Roman" w:hAnsi="Times New Roman" w:cs="Times New Roman"/>
          <w:b/>
          <w:bCs/>
          <w:color w:val="156082" w:themeColor="accent1"/>
        </w:rPr>
      </w:pPr>
      <w:r w:rsidRPr="009D7ABF">
        <w:rPr>
          <w:rFonts w:ascii="Times New Roman" w:hAnsi="Times New Roman" w:cs="Times New Roman"/>
          <w:b/>
          <w:bCs/>
          <w:color w:val="156082" w:themeColor="accent1"/>
        </w:rPr>
        <w:lastRenderedPageBreak/>
        <w:t>Environmental and Social Assessment</w:t>
      </w:r>
    </w:p>
    <w:p w14:paraId="78D65F04"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"Environmental and Social Assessment" means any environmental impact assessment, environmental audit, social impact assessment, biodiversity assessment, environmental review, social review, or related evaluation.</w:t>
      </w:r>
    </w:p>
    <w:p w14:paraId="53082113" w14:textId="77777777" w:rsidR="009D7ABF" w:rsidRPr="009D7ABF" w:rsidRDefault="009D7ABF" w:rsidP="009D7ABF">
      <w:pPr>
        <w:numPr>
          <w:ilvl w:val="0"/>
          <w:numId w:val="6"/>
        </w:numPr>
        <w:tabs>
          <w:tab w:val="clear" w:pos="360"/>
          <w:tab w:val="num" w:pos="720"/>
        </w:tabs>
        <w:jc w:val="both"/>
        <w:rPr>
          <w:rFonts w:ascii="Times New Roman" w:hAnsi="Times New Roman" w:cs="Times New Roman"/>
          <w:b/>
          <w:bCs/>
          <w:color w:val="156082" w:themeColor="accent1"/>
        </w:rPr>
      </w:pPr>
      <w:r w:rsidRPr="009D7ABF">
        <w:rPr>
          <w:rFonts w:ascii="Times New Roman" w:hAnsi="Times New Roman" w:cs="Times New Roman"/>
          <w:b/>
          <w:bCs/>
          <w:color w:val="156082" w:themeColor="accent1"/>
        </w:rPr>
        <w:t>Environmental and Social Documentation</w:t>
      </w:r>
    </w:p>
    <w:p w14:paraId="17F33C13" w14:textId="6CBFF760"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"Environmental and Social Documentation" means environmental reports, social reports, impact assessments, management plans, monitoring reports, compliance reports, approvals, permits, and related documentation.</w:t>
      </w:r>
    </w:p>
    <w:p w14:paraId="69545AC6" w14:textId="77777777" w:rsidR="009D7ABF" w:rsidRPr="009D7ABF" w:rsidRDefault="009D7ABF" w:rsidP="009D7ABF">
      <w:pPr>
        <w:jc w:val="both"/>
        <w:rPr>
          <w:rFonts w:ascii="Times New Roman" w:hAnsi="Times New Roman" w:cs="Times New Roman"/>
          <w:b/>
          <w:bCs/>
          <w:color w:val="156082" w:themeColor="accent1"/>
        </w:rPr>
      </w:pPr>
      <w:r w:rsidRPr="009D7ABF">
        <w:rPr>
          <w:rFonts w:ascii="Times New Roman" w:hAnsi="Times New Roman" w:cs="Times New Roman"/>
          <w:b/>
          <w:bCs/>
          <w:color w:val="156082" w:themeColor="accent1"/>
        </w:rPr>
        <w:t>D. CONFIDENTIAL INFORMATION EXPANSION</w:t>
      </w:r>
    </w:p>
    <w:p w14:paraId="642B4EC5"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Without limitation, Confidential Information includes:</w:t>
      </w:r>
    </w:p>
    <w:p w14:paraId="6C79CA88"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(a) environmental impact assessments, environmental audits, environmental reviews, biodiversity assessments, ecological studies, and environmental monitoring reports;</w:t>
      </w:r>
    </w:p>
    <w:p w14:paraId="175BC3FC"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(b) social impact assessments, community impact assessments, stakeholder engagement plans, resettlement plans, livelihood restoration plans, and social monitoring reports;</w:t>
      </w:r>
    </w:p>
    <w:p w14:paraId="367A68B3"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(c) environmental permits, environmental approvals, environmental clearances, pollution control approvals, forest clearances, wildlife approvals, and related authorizations;</w:t>
      </w:r>
    </w:p>
    <w:p w14:paraId="110F5FD1"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(d) stakeholder consultation records, community engagement records, public hearing materials, grievance records, and stakeholder communications;</w:t>
      </w:r>
    </w:p>
    <w:p w14:paraId="15DB7EAA"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(e) environmental management plans, social management plans, mitigation measures, corrective action plans, remediation plans, and sustainability initiatives;</w:t>
      </w:r>
    </w:p>
    <w:p w14:paraId="2096F9E8"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 xml:space="preserve">(f) </w:t>
      </w:r>
      <w:proofErr w:type="spellStart"/>
      <w:r w:rsidRPr="009D7ABF">
        <w:rPr>
          <w:rFonts w:ascii="Times New Roman" w:hAnsi="Times New Roman" w:cs="Times New Roman"/>
          <w:color w:val="156082" w:themeColor="accent1"/>
        </w:rPr>
        <w:t>labor</w:t>
      </w:r>
      <w:proofErr w:type="spellEnd"/>
      <w:r w:rsidRPr="009D7ABF">
        <w:rPr>
          <w:rFonts w:ascii="Times New Roman" w:hAnsi="Times New Roman" w:cs="Times New Roman"/>
          <w:color w:val="156082" w:themeColor="accent1"/>
        </w:rPr>
        <w:t xml:space="preserve"> compliance information, occupational health and safety information, worker welfare information, contractor compliance information, and workforce assessments;</w:t>
      </w:r>
    </w:p>
    <w:p w14:paraId="5AFDEAF5"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(g) environmental risk assessments, social risk assessments, climate risk assessments, biodiversity risk assessments, and sustainability risk analyses;</w:t>
      </w:r>
    </w:p>
    <w:p w14:paraId="5A2BA340"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(h) lender environmental requirements, ESG requirements, IFC performance standards assessments, Equator Principles assessments, and sustainability compliance reviews;</w:t>
      </w:r>
    </w:p>
    <w:p w14:paraId="5722BDD1"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w:t>
      </w:r>
      <w:proofErr w:type="spellStart"/>
      <w:r w:rsidRPr="009D7ABF">
        <w:rPr>
          <w:rFonts w:ascii="Times New Roman" w:hAnsi="Times New Roman" w:cs="Times New Roman"/>
          <w:color w:val="156082" w:themeColor="accent1"/>
        </w:rPr>
        <w:t>i</w:t>
      </w:r>
      <w:proofErr w:type="spellEnd"/>
      <w:r w:rsidRPr="009D7ABF">
        <w:rPr>
          <w:rFonts w:ascii="Times New Roman" w:hAnsi="Times New Roman" w:cs="Times New Roman"/>
          <w:color w:val="156082" w:themeColor="accent1"/>
        </w:rPr>
        <w:t>) project compliance reports, environmental monitoring data, social monitoring data, environmental performance indicators, and social performance indicators;</w:t>
      </w:r>
    </w:p>
    <w:p w14:paraId="6AD8E685"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(j) investigations, inspections, non-compliance findings, enforcement actions, penalties, remediation activities, and dispute-related information;</w:t>
      </w:r>
    </w:p>
    <w:p w14:paraId="1E10763A"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(k) sustainability programs, carbon reduction initiatives, environmental improvement projects, biodiversity conservation initiatives, and community development programs;</w:t>
      </w:r>
    </w:p>
    <w:p w14:paraId="789456EC"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(l) due diligence findings relating to environmental risks, social risks, sustainability risks, compliance risks, and stakeholder risks; and</w:t>
      </w:r>
    </w:p>
    <w:p w14:paraId="04A2AB36" w14:textId="66F177CE"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lastRenderedPageBreak/>
        <w:t>(m) any other legal, commercial, financial, technical, operational, environmental, social, sustainability-related, ESG-related, renewable-energy-related, strategic, or proprietary information disclosed in connection with Environmental and Social Compliance.</w:t>
      </w:r>
    </w:p>
    <w:p w14:paraId="6F8EDF4D" w14:textId="77777777" w:rsidR="009D7ABF" w:rsidRPr="009D7ABF" w:rsidRDefault="009D7ABF" w:rsidP="009D7ABF">
      <w:pPr>
        <w:jc w:val="both"/>
        <w:rPr>
          <w:rFonts w:ascii="Times New Roman" w:hAnsi="Times New Roman" w:cs="Times New Roman"/>
          <w:b/>
          <w:bCs/>
          <w:color w:val="156082" w:themeColor="accent1"/>
        </w:rPr>
      </w:pPr>
      <w:r w:rsidRPr="009D7ABF">
        <w:rPr>
          <w:rFonts w:ascii="Times New Roman" w:hAnsi="Times New Roman" w:cs="Times New Roman"/>
          <w:b/>
          <w:bCs/>
          <w:color w:val="156082" w:themeColor="accent1"/>
        </w:rPr>
        <w:t>E. OPTIONAL INTRODUCED CONTACTS DATASET</w:t>
      </w:r>
    </w:p>
    <w:p w14:paraId="57197F03"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Environmental Authorities</w:t>
      </w:r>
    </w:p>
    <w:p w14:paraId="082A819E"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Pollution Control Boards</w:t>
      </w:r>
    </w:p>
    <w:p w14:paraId="61BB309C"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Forest Authorities</w:t>
      </w:r>
    </w:p>
    <w:p w14:paraId="6544C2F0"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Wildlife Authorities</w:t>
      </w:r>
    </w:p>
    <w:p w14:paraId="19F74B1B"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Government Departments</w:t>
      </w:r>
    </w:p>
    <w:p w14:paraId="3F08FD16"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Project Developers</w:t>
      </w:r>
    </w:p>
    <w:p w14:paraId="56E20A42"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Project Owners</w:t>
      </w:r>
    </w:p>
    <w:p w14:paraId="38B07AF1"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Environmental Consultants</w:t>
      </w:r>
    </w:p>
    <w:p w14:paraId="656937C8"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ESG Consultants</w:t>
      </w:r>
    </w:p>
    <w:p w14:paraId="108DD165"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Social Consultants</w:t>
      </w:r>
    </w:p>
    <w:p w14:paraId="2BA6CC16"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Community Representatives</w:t>
      </w:r>
    </w:p>
    <w:p w14:paraId="38F02AE7"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NGOs</w:t>
      </w:r>
    </w:p>
    <w:p w14:paraId="70AAC19F"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Independent Engineers</w:t>
      </w:r>
    </w:p>
    <w:p w14:paraId="61D2EB91"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Legal Advisors</w:t>
      </w:r>
    </w:p>
    <w:p w14:paraId="73A40EC9"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Regulatory Consultants</w:t>
      </w:r>
    </w:p>
    <w:p w14:paraId="77D8318C"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Lenders</w:t>
      </w:r>
    </w:p>
    <w:p w14:paraId="3BF1C3DE"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Banks</w:t>
      </w:r>
    </w:p>
    <w:p w14:paraId="44F3E6CD"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Multilateral Institutions</w:t>
      </w:r>
    </w:p>
    <w:p w14:paraId="5BEA276E"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Investors</w:t>
      </w:r>
    </w:p>
    <w:p w14:paraId="40F78273"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Infrastructure Funds</w:t>
      </w:r>
    </w:p>
    <w:p w14:paraId="7254474C" w14:textId="77777777" w:rsidR="009D7ABF" w:rsidRPr="009D7ABF" w:rsidRDefault="009D7ABF" w:rsidP="009D7ABF">
      <w:pPr>
        <w:jc w:val="both"/>
        <w:rPr>
          <w:rFonts w:ascii="Times New Roman" w:hAnsi="Times New Roman" w:cs="Times New Roman"/>
          <w:color w:val="156082" w:themeColor="accent1"/>
        </w:rPr>
      </w:pPr>
      <w:r w:rsidRPr="009D7ABF">
        <w:rPr>
          <w:rFonts w:ascii="Times New Roman" w:hAnsi="Times New Roman" w:cs="Times New Roman"/>
          <w:color w:val="156082" w:themeColor="accent1"/>
        </w:rPr>
        <w:t>Strategic Partners</w:t>
      </w:r>
    </w:p>
    <w:p w14:paraId="43F06AF3" w14:textId="77777777" w:rsidR="009D7ABF" w:rsidRPr="009D7ABF" w:rsidRDefault="009D7ABF" w:rsidP="009D7ABF">
      <w:pPr>
        <w:jc w:val="both"/>
        <w:rPr>
          <w:rFonts w:ascii="Times New Roman" w:hAnsi="Times New Roman" w:cs="Times New Roman"/>
          <w:color w:val="156082" w:themeColor="accent1"/>
        </w:rPr>
      </w:pPr>
    </w:p>
    <w:sectPr w:rsidR="009D7ABF" w:rsidRPr="009D7A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31C"/>
    <w:multiLevelType w:val="multilevel"/>
    <w:tmpl w:val="D8E0C6F4"/>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6AB33A8"/>
    <w:multiLevelType w:val="multilevel"/>
    <w:tmpl w:val="ED0CAE3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41936EE3"/>
    <w:multiLevelType w:val="multilevel"/>
    <w:tmpl w:val="8B5CA97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553B05B1"/>
    <w:multiLevelType w:val="multilevel"/>
    <w:tmpl w:val="F2564D3E"/>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687D5E70"/>
    <w:multiLevelType w:val="multilevel"/>
    <w:tmpl w:val="87486D9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6F600874"/>
    <w:multiLevelType w:val="multilevel"/>
    <w:tmpl w:val="DA22D59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249580726">
    <w:abstractNumId w:val="1"/>
  </w:num>
  <w:num w:numId="2" w16cid:durableId="1299073827">
    <w:abstractNumId w:val="4"/>
  </w:num>
  <w:num w:numId="3" w16cid:durableId="1344433572">
    <w:abstractNumId w:val="2"/>
  </w:num>
  <w:num w:numId="4" w16cid:durableId="85081734">
    <w:abstractNumId w:val="0"/>
  </w:num>
  <w:num w:numId="5" w16cid:durableId="1720783004">
    <w:abstractNumId w:val="3"/>
  </w:num>
  <w:num w:numId="6" w16cid:durableId="6328334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ABF"/>
    <w:rsid w:val="000A7ED5"/>
    <w:rsid w:val="009D7A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298F"/>
  <w15:chartTrackingRefBased/>
  <w15:docId w15:val="{24B17084-A8D2-4BC9-A0D6-D1C74B762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A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A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A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A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A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A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ABF"/>
    <w:rPr>
      <w:rFonts w:eastAsiaTheme="majorEastAsia" w:cstheme="majorBidi"/>
      <w:color w:val="272727" w:themeColor="text1" w:themeTint="D8"/>
    </w:rPr>
  </w:style>
  <w:style w:type="paragraph" w:styleId="Title">
    <w:name w:val="Title"/>
    <w:basedOn w:val="Normal"/>
    <w:next w:val="Normal"/>
    <w:link w:val="TitleChar"/>
    <w:uiPriority w:val="10"/>
    <w:qFormat/>
    <w:rsid w:val="009D7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ABF"/>
    <w:pPr>
      <w:spacing w:before="160"/>
      <w:jc w:val="center"/>
    </w:pPr>
    <w:rPr>
      <w:i/>
      <w:iCs/>
      <w:color w:val="404040" w:themeColor="text1" w:themeTint="BF"/>
    </w:rPr>
  </w:style>
  <w:style w:type="character" w:customStyle="1" w:styleId="QuoteChar">
    <w:name w:val="Quote Char"/>
    <w:basedOn w:val="DefaultParagraphFont"/>
    <w:link w:val="Quote"/>
    <w:uiPriority w:val="29"/>
    <w:rsid w:val="009D7ABF"/>
    <w:rPr>
      <w:i/>
      <w:iCs/>
      <w:color w:val="404040" w:themeColor="text1" w:themeTint="BF"/>
    </w:rPr>
  </w:style>
  <w:style w:type="paragraph" w:styleId="ListParagraph">
    <w:name w:val="List Paragraph"/>
    <w:basedOn w:val="Normal"/>
    <w:uiPriority w:val="34"/>
    <w:qFormat/>
    <w:rsid w:val="009D7ABF"/>
    <w:pPr>
      <w:ind w:left="720"/>
      <w:contextualSpacing/>
    </w:pPr>
  </w:style>
  <w:style w:type="character" w:styleId="IntenseEmphasis">
    <w:name w:val="Intense Emphasis"/>
    <w:basedOn w:val="DefaultParagraphFont"/>
    <w:uiPriority w:val="21"/>
    <w:qFormat/>
    <w:rsid w:val="009D7ABF"/>
    <w:rPr>
      <w:i/>
      <w:iCs/>
      <w:color w:val="0F4761" w:themeColor="accent1" w:themeShade="BF"/>
    </w:rPr>
  </w:style>
  <w:style w:type="paragraph" w:styleId="IntenseQuote">
    <w:name w:val="Intense Quote"/>
    <w:basedOn w:val="Normal"/>
    <w:next w:val="Normal"/>
    <w:link w:val="IntenseQuoteChar"/>
    <w:uiPriority w:val="30"/>
    <w:qFormat/>
    <w:rsid w:val="009D7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ABF"/>
    <w:rPr>
      <w:i/>
      <w:iCs/>
      <w:color w:val="0F4761" w:themeColor="accent1" w:themeShade="BF"/>
    </w:rPr>
  </w:style>
  <w:style w:type="character" w:styleId="IntenseReference">
    <w:name w:val="Intense Reference"/>
    <w:basedOn w:val="DefaultParagraphFont"/>
    <w:uiPriority w:val="32"/>
    <w:qFormat/>
    <w:rsid w:val="009D7A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826</Words>
  <Characters>4712</Characters>
  <Application>Microsoft Office Word</Application>
  <DocSecurity>0</DocSecurity>
  <Lines>39</Lines>
  <Paragraphs>11</Paragraphs>
  <ScaleCrop>false</ScaleCrop>
  <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2026-06-10T17:17:00Z</dcterms:created>
  <dcterms:modified xsi:type="dcterms:W3CDTF">2026-06-10T17:19:00Z</dcterms:modified>
</cp:coreProperties>
</file>